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036513">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10146B">
              <w:rPr>
                <w:color w:val="1F497D" w:themeColor="text2"/>
                <w:sz w:val="24"/>
                <w:szCs w:val="24"/>
              </w:rPr>
              <w:t>Проспект Октября, д.11, корп.2</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036513" w:rsidRDefault="0010146B" w:rsidP="00036513">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переустройство </w:t>
            </w:r>
            <w:r w:rsidR="00036513">
              <w:rPr>
                <w:rFonts w:ascii="Times New Roman" w:hAnsi="Times New Roman" w:cs="Times New Roman"/>
                <w:color w:val="1F497D" w:themeColor="text2"/>
                <w:sz w:val="24"/>
                <w:szCs w:val="24"/>
              </w:rPr>
              <w:t>крыши</w:t>
            </w:r>
            <w:r w:rsidR="000F64DC">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0449FC" w:rsidP="00BB751E">
            <w:pPr>
              <w:pStyle w:val="ConsPlusCell"/>
              <w:jc w:val="center"/>
              <w:rPr>
                <w:color w:val="1F497D" w:themeColor="text2"/>
                <w:sz w:val="24"/>
                <w:szCs w:val="24"/>
              </w:rPr>
            </w:pPr>
            <w:r>
              <w:rPr>
                <w:color w:val="1F497D" w:themeColor="text2"/>
                <w:sz w:val="24"/>
                <w:szCs w:val="24"/>
              </w:rPr>
              <w:t>Проспект Октября, д.11, корп.2</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7969E7" w:rsidRPr="000F64DC" w:rsidRDefault="000449FC" w:rsidP="000F64DC">
            <w:pPr>
              <w:jc w:val="center"/>
              <w:rPr>
                <w:rFonts w:ascii="Times New Roman" w:eastAsia="Calibri" w:hAnsi="Times New Roman" w:cs="Times New Roman"/>
                <w:sz w:val="24"/>
                <w:szCs w:val="24"/>
              </w:rPr>
            </w:pPr>
            <w:r w:rsidRPr="000449FC">
              <w:rPr>
                <w:rFonts w:ascii="Times New Roman" w:hAnsi="Times New Roman" w:cs="Times New Roman"/>
                <w:color w:val="000000"/>
                <w:sz w:val="24"/>
                <w:szCs w:val="24"/>
              </w:rPr>
              <w:t>2 395 000,00</w:t>
            </w:r>
            <w:bookmarkStart w:id="3" w:name="_GoBack"/>
            <w:bookmarkEnd w:id="3"/>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0449FC"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0449FC" w:rsidRPr="000449FC">
        <w:rPr>
          <w:rFonts w:ascii="Times New Roman" w:hAnsi="Times New Roman" w:cs="Times New Roman"/>
          <w:b/>
          <w:i/>
          <w:sz w:val="28"/>
          <w:szCs w:val="28"/>
        </w:rPr>
        <w:t>Проспект Октября, д.11, корп.2</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529"/>
      </w:tblGrid>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1. Заказчик</w:t>
            </w:r>
          </w:p>
        </w:tc>
        <w:tc>
          <w:tcPr>
            <w:tcW w:w="5529"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Некоммерческая организация Фонд «Региональный оператор Республики Башкорт</w:t>
            </w:r>
            <w:r w:rsidRPr="000449FC">
              <w:rPr>
                <w:rFonts w:ascii="Times New Roman" w:hAnsi="Times New Roman" w:cs="Times New Roman"/>
                <w:sz w:val="24"/>
                <w:szCs w:val="24"/>
              </w:rPr>
              <w:t>о</w:t>
            </w:r>
            <w:r w:rsidRPr="000449FC">
              <w:rPr>
                <w:rFonts w:ascii="Times New Roman" w:hAnsi="Times New Roman" w:cs="Times New Roman"/>
                <w:sz w:val="24"/>
                <w:szCs w:val="24"/>
              </w:rPr>
              <w:t>стан»</w:t>
            </w:r>
          </w:p>
        </w:tc>
      </w:tr>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2. Адрес объекта</w:t>
            </w:r>
          </w:p>
        </w:tc>
        <w:tc>
          <w:tcPr>
            <w:tcW w:w="5529"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Городской округ город  Уфа, </w:t>
            </w:r>
            <w:proofErr w:type="spellStart"/>
            <w:r w:rsidRPr="000449FC">
              <w:rPr>
                <w:rFonts w:ascii="Times New Roman" w:hAnsi="Times New Roman" w:cs="Times New Roman"/>
                <w:sz w:val="24"/>
                <w:szCs w:val="24"/>
              </w:rPr>
              <w:t>пр</w:t>
            </w:r>
            <w:proofErr w:type="gramStart"/>
            <w:r w:rsidRPr="000449FC">
              <w:rPr>
                <w:rFonts w:ascii="Times New Roman" w:hAnsi="Times New Roman" w:cs="Times New Roman"/>
                <w:sz w:val="24"/>
                <w:szCs w:val="24"/>
              </w:rPr>
              <w:t>.О</w:t>
            </w:r>
            <w:proofErr w:type="gramEnd"/>
            <w:r w:rsidRPr="000449FC">
              <w:rPr>
                <w:rFonts w:ascii="Times New Roman" w:hAnsi="Times New Roman" w:cs="Times New Roman"/>
                <w:sz w:val="24"/>
                <w:szCs w:val="24"/>
              </w:rPr>
              <w:t>ктября</w:t>
            </w:r>
            <w:proofErr w:type="spellEnd"/>
            <w:r w:rsidRPr="000449FC">
              <w:rPr>
                <w:rFonts w:ascii="Times New Roman" w:hAnsi="Times New Roman" w:cs="Times New Roman"/>
                <w:sz w:val="24"/>
                <w:szCs w:val="24"/>
              </w:rPr>
              <w:t>, д.11 корп.2</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3. Вид работ</w:t>
            </w:r>
          </w:p>
        </w:tc>
        <w:tc>
          <w:tcPr>
            <w:tcW w:w="5529"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Переустройство крыши</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4. </w:t>
            </w:r>
            <w:r w:rsidRPr="000449FC">
              <w:rPr>
                <w:rFonts w:ascii="Times New Roman" w:hAnsi="Times New Roman" w:cs="Times New Roman"/>
                <w:color w:val="000000"/>
                <w:sz w:val="24"/>
                <w:szCs w:val="24"/>
              </w:rPr>
              <w:t>Начальная максимально допустимая цена догов</w:t>
            </w:r>
            <w:r w:rsidRPr="000449FC">
              <w:rPr>
                <w:rFonts w:ascii="Times New Roman" w:hAnsi="Times New Roman" w:cs="Times New Roman"/>
                <w:color w:val="000000"/>
                <w:sz w:val="24"/>
                <w:szCs w:val="24"/>
              </w:rPr>
              <w:t>о</w:t>
            </w:r>
            <w:r w:rsidRPr="000449FC">
              <w:rPr>
                <w:rFonts w:ascii="Times New Roman" w:hAnsi="Times New Roman" w:cs="Times New Roman"/>
                <w:color w:val="000000"/>
                <w:sz w:val="24"/>
                <w:szCs w:val="24"/>
              </w:rPr>
              <w:t>ра подряда, с НДС, руб.</w:t>
            </w:r>
          </w:p>
        </w:tc>
        <w:tc>
          <w:tcPr>
            <w:tcW w:w="5529" w:type="dxa"/>
            <w:tcBorders>
              <w:bottom w:val="nil"/>
            </w:tcBorders>
            <w:vAlign w:val="center"/>
          </w:tcPr>
          <w:p w:rsidR="000449FC" w:rsidRPr="000449FC" w:rsidRDefault="000449FC" w:rsidP="00C72456">
            <w:pPr>
              <w:jc w:val="center"/>
              <w:rPr>
                <w:rFonts w:ascii="Times New Roman" w:hAnsi="Times New Roman" w:cs="Times New Roman"/>
                <w:sz w:val="24"/>
                <w:szCs w:val="24"/>
              </w:rPr>
            </w:pPr>
            <w:r w:rsidRPr="000449FC">
              <w:rPr>
                <w:rFonts w:ascii="Times New Roman" w:hAnsi="Times New Roman" w:cs="Times New Roman"/>
                <w:color w:val="000000"/>
                <w:sz w:val="24"/>
                <w:szCs w:val="24"/>
              </w:rPr>
              <w:t>2 395 000,00</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5. Срок выполнения работ</w:t>
            </w:r>
          </w:p>
        </w:tc>
        <w:tc>
          <w:tcPr>
            <w:tcW w:w="5529"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Согласно утвержденному Заказчиком Гр</w:t>
            </w:r>
            <w:r w:rsidRPr="000449FC">
              <w:rPr>
                <w:rFonts w:ascii="Times New Roman" w:hAnsi="Times New Roman" w:cs="Times New Roman"/>
                <w:sz w:val="24"/>
                <w:szCs w:val="24"/>
              </w:rPr>
              <w:t>а</w:t>
            </w:r>
            <w:r w:rsidRPr="000449FC">
              <w:rPr>
                <w:rFonts w:ascii="Times New Roman" w:hAnsi="Times New Roman" w:cs="Times New Roman"/>
                <w:sz w:val="24"/>
                <w:szCs w:val="24"/>
              </w:rPr>
              <w:t>фику производства работ</w:t>
            </w:r>
          </w:p>
        </w:tc>
      </w:tr>
      <w:tr w:rsidR="000449FC" w:rsidRPr="000449FC" w:rsidTr="00C72456">
        <w:tc>
          <w:tcPr>
            <w:tcW w:w="4644"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6. Технические характеристики зд</w:t>
            </w:r>
            <w:r w:rsidRPr="000449FC">
              <w:rPr>
                <w:rFonts w:ascii="Times New Roman" w:hAnsi="Times New Roman" w:cs="Times New Roman"/>
                <w:sz w:val="24"/>
                <w:szCs w:val="24"/>
              </w:rPr>
              <w:t>а</w:t>
            </w:r>
            <w:r w:rsidRPr="000449FC">
              <w:rPr>
                <w:rFonts w:ascii="Times New Roman" w:hAnsi="Times New Roman" w:cs="Times New Roman"/>
                <w:sz w:val="24"/>
                <w:szCs w:val="24"/>
              </w:rPr>
              <w:t>ния</w:t>
            </w:r>
          </w:p>
        </w:tc>
        <w:tc>
          <w:tcPr>
            <w:tcW w:w="5529" w:type="dxa"/>
            <w:tcBorders>
              <w:bottom w:val="nil"/>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Количество этажей – 6</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Количество квартир –58</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Стены – каменные, кирпичные</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Кровля - рулонная</w:t>
            </w:r>
          </w:p>
        </w:tc>
      </w:tr>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7. Состав выполняемых работ и д</w:t>
            </w:r>
            <w:r w:rsidRPr="000449FC">
              <w:rPr>
                <w:rFonts w:ascii="Times New Roman" w:hAnsi="Times New Roman" w:cs="Times New Roman"/>
                <w:sz w:val="24"/>
                <w:szCs w:val="24"/>
              </w:rPr>
              <w:t>о</w:t>
            </w:r>
            <w:r w:rsidRPr="000449FC">
              <w:rPr>
                <w:rFonts w:ascii="Times New Roman" w:hAnsi="Times New Roman" w:cs="Times New Roman"/>
                <w:sz w:val="24"/>
                <w:szCs w:val="24"/>
              </w:rPr>
              <w:t>полнительные требования</w:t>
            </w:r>
          </w:p>
        </w:tc>
        <w:tc>
          <w:tcPr>
            <w:tcW w:w="5529" w:type="dxa"/>
            <w:tcBorders>
              <w:bottom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Работы выполнить в соответствии </w:t>
            </w:r>
            <w:proofErr w:type="gramStart"/>
            <w:r w:rsidRPr="000449FC">
              <w:rPr>
                <w:rFonts w:ascii="Times New Roman" w:hAnsi="Times New Roman" w:cs="Times New Roman"/>
                <w:sz w:val="24"/>
                <w:szCs w:val="24"/>
              </w:rPr>
              <w:t>с</w:t>
            </w:r>
            <w:proofErr w:type="gramEnd"/>
            <w:r w:rsidRPr="000449FC">
              <w:rPr>
                <w:rFonts w:ascii="Times New Roman" w:hAnsi="Times New Roman" w:cs="Times New Roman"/>
                <w:sz w:val="24"/>
                <w:szCs w:val="24"/>
              </w:rPr>
              <w:t xml:space="preserve"> </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СП 70.13330.2012 «Несущие и ограждающие конструкции», ГОСТ 23118-2012 «Констру</w:t>
            </w:r>
            <w:r w:rsidRPr="000449FC">
              <w:rPr>
                <w:rFonts w:ascii="Times New Roman" w:hAnsi="Times New Roman" w:cs="Times New Roman"/>
                <w:sz w:val="24"/>
                <w:szCs w:val="24"/>
              </w:rPr>
              <w:t>к</w:t>
            </w:r>
            <w:r w:rsidRPr="000449FC">
              <w:rPr>
                <w:rFonts w:ascii="Times New Roman" w:hAnsi="Times New Roman" w:cs="Times New Roman"/>
                <w:sz w:val="24"/>
                <w:szCs w:val="24"/>
              </w:rPr>
              <w:t>ции стальные строительные, СП 28.13330.2012 «Защита строительных ко</w:t>
            </w:r>
            <w:r w:rsidRPr="000449FC">
              <w:rPr>
                <w:rFonts w:ascii="Times New Roman" w:hAnsi="Times New Roman" w:cs="Times New Roman"/>
                <w:sz w:val="24"/>
                <w:szCs w:val="24"/>
              </w:rPr>
              <w:t>н</w:t>
            </w:r>
            <w:r w:rsidRPr="000449FC">
              <w:rPr>
                <w:rFonts w:ascii="Times New Roman" w:hAnsi="Times New Roman" w:cs="Times New Roman"/>
                <w:sz w:val="24"/>
                <w:szCs w:val="24"/>
              </w:rPr>
              <w:t>струкций от коррозии, СНиП II-26-76 Кровли и СП 17.13330.2011 Кровли.</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При выполнении работ предусмотреть:</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ремонт и усиление кирпичной кладки п</w:t>
            </w:r>
            <w:r w:rsidRPr="000449FC">
              <w:rPr>
                <w:rFonts w:ascii="Times New Roman" w:hAnsi="Times New Roman" w:cs="Times New Roman"/>
                <w:sz w:val="24"/>
                <w:szCs w:val="24"/>
              </w:rPr>
              <w:t>а</w:t>
            </w:r>
            <w:r w:rsidRPr="000449FC">
              <w:rPr>
                <w:rFonts w:ascii="Times New Roman" w:hAnsi="Times New Roman" w:cs="Times New Roman"/>
                <w:sz w:val="24"/>
                <w:szCs w:val="24"/>
              </w:rPr>
              <w:t>рапета;</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металлических направляющих и крепление их к существующим несущим конструкциям;</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пространственной констру</w:t>
            </w:r>
            <w:r w:rsidRPr="000449FC">
              <w:rPr>
                <w:rFonts w:ascii="Times New Roman" w:hAnsi="Times New Roman" w:cs="Times New Roman"/>
                <w:sz w:val="24"/>
                <w:szCs w:val="24"/>
              </w:rPr>
              <w:t>к</w:t>
            </w:r>
            <w:r w:rsidRPr="000449FC">
              <w:rPr>
                <w:rFonts w:ascii="Times New Roman" w:hAnsi="Times New Roman" w:cs="Times New Roman"/>
                <w:sz w:val="24"/>
                <w:szCs w:val="24"/>
              </w:rPr>
              <w:t>ции кровли из металлического профиля;</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 устройство стальной </w:t>
            </w:r>
            <w:proofErr w:type="gramStart"/>
            <w:r w:rsidRPr="000449FC">
              <w:rPr>
                <w:rFonts w:ascii="Times New Roman" w:hAnsi="Times New Roman" w:cs="Times New Roman"/>
                <w:sz w:val="24"/>
                <w:szCs w:val="24"/>
              </w:rPr>
              <w:t>цельно-сварной</w:t>
            </w:r>
            <w:proofErr w:type="gramEnd"/>
            <w:r w:rsidRPr="000449FC">
              <w:rPr>
                <w:rFonts w:ascii="Times New Roman" w:hAnsi="Times New Roman" w:cs="Times New Roman"/>
                <w:sz w:val="24"/>
                <w:szCs w:val="24"/>
              </w:rPr>
              <w:t xml:space="preserve"> крыши из  стального листа 2 мм с орган</w:t>
            </w:r>
            <w:r w:rsidRPr="000449FC">
              <w:rPr>
                <w:rFonts w:ascii="Times New Roman" w:hAnsi="Times New Roman" w:cs="Times New Roman"/>
                <w:sz w:val="24"/>
                <w:szCs w:val="24"/>
              </w:rPr>
              <w:t>и</w:t>
            </w:r>
            <w:r w:rsidRPr="000449FC">
              <w:rPr>
                <w:rFonts w:ascii="Times New Roman" w:hAnsi="Times New Roman" w:cs="Times New Roman"/>
                <w:sz w:val="24"/>
                <w:szCs w:val="24"/>
              </w:rPr>
              <w:t>зованным наружным водостоком;</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предусмотреть узлы компенсации лине</w:t>
            </w:r>
            <w:r w:rsidRPr="000449FC">
              <w:rPr>
                <w:rFonts w:ascii="Times New Roman" w:hAnsi="Times New Roman" w:cs="Times New Roman"/>
                <w:sz w:val="24"/>
                <w:szCs w:val="24"/>
              </w:rPr>
              <w:t>й</w:t>
            </w:r>
            <w:r w:rsidRPr="000449FC">
              <w:rPr>
                <w:rFonts w:ascii="Times New Roman" w:hAnsi="Times New Roman" w:cs="Times New Roman"/>
                <w:sz w:val="24"/>
                <w:szCs w:val="24"/>
              </w:rPr>
              <w:t>ного расширения металла;</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антикоррозийную защиту металлоко</w:t>
            </w:r>
            <w:r w:rsidRPr="000449FC">
              <w:rPr>
                <w:rFonts w:ascii="Times New Roman" w:hAnsi="Times New Roman" w:cs="Times New Roman"/>
                <w:sz w:val="24"/>
                <w:szCs w:val="24"/>
              </w:rPr>
              <w:t>н</w:t>
            </w:r>
            <w:r w:rsidRPr="000449FC">
              <w:rPr>
                <w:rFonts w:ascii="Times New Roman" w:hAnsi="Times New Roman" w:cs="Times New Roman"/>
                <w:sz w:val="24"/>
                <w:szCs w:val="24"/>
              </w:rPr>
              <w:t>струкций (</w:t>
            </w:r>
            <w:proofErr w:type="gramStart"/>
            <w:r w:rsidRPr="000449FC">
              <w:rPr>
                <w:rFonts w:ascii="Times New Roman" w:hAnsi="Times New Roman" w:cs="Times New Roman"/>
                <w:sz w:val="24"/>
                <w:szCs w:val="24"/>
              </w:rPr>
              <w:t>материалами</w:t>
            </w:r>
            <w:proofErr w:type="gramEnd"/>
            <w:r w:rsidRPr="000449FC">
              <w:rPr>
                <w:rFonts w:ascii="Times New Roman" w:hAnsi="Times New Roman" w:cs="Times New Roman"/>
                <w:sz w:val="24"/>
                <w:szCs w:val="24"/>
              </w:rPr>
              <w:t xml:space="preserve"> рассчитанными на длительный период эксплуатации);</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 ремонт кладки </w:t>
            </w:r>
            <w:proofErr w:type="spellStart"/>
            <w:r w:rsidRPr="000449FC">
              <w:rPr>
                <w:rFonts w:ascii="Times New Roman" w:hAnsi="Times New Roman" w:cs="Times New Roman"/>
                <w:sz w:val="24"/>
                <w:szCs w:val="24"/>
              </w:rPr>
              <w:t>вентканалов</w:t>
            </w:r>
            <w:proofErr w:type="spellEnd"/>
            <w:r w:rsidRPr="000449FC">
              <w:rPr>
                <w:rFonts w:ascii="Times New Roman" w:hAnsi="Times New Roman" w:cs="Times New Roman"/>
                <w:sz w:val="24"/>
                <w:szCs w:val="24"/>
              </w:rPr>
              <w:t>, кирпичных столбиков и карнизной части наружных стен (по необходимости);</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ограждения кровли высотой 1,2м</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-обшивку </w:t>
            </w:r>
            <w:proofErr w:type="spellStart"/>
            <w:r w:rsidRPr="000449FC">
              <w:rPr>
                <w:rFonts w:ascii="Times New Roman" w:hAnsi="Times New Roman" w:cs="Times New Roman"/>
                <w:sz w:val="24"/>
                <w:szCs w:val="24"/>
              </w:rPr>
              <w:t>вентблоков</w:t>
            </w:r>
            <w:proofErr w:type="spellEnd"/>
            <w:r w:rsidRPr="000449FC">
              <w:rPr>
                <w:rFonts w:ascii="Times New Roman" w:hAnsi="Times New Roman" w:cs="Times New Roman"/>
                <w:sz w:val="24"/>
                <w:szCs w:val="24"/>
              </w:rPr>
              <w:t xml:space="preserve"> и </w:t>
            </w:r>
            <w:proofErr w:type="spellStart"/>
            <w:r w:rsidRPr="000449FC">
              <w:rPr>
                <w:rFonts w:ascii="Times New Roman" w:hAnsi="Times New Roman" w:cs="Times New Roman"/>
                <w:sz w:val="24"/>
                <w:szCs w:val="24"/>
              </w:rPr>
              <w:t>вентшахт</w:t>
            </w:r>
            <w:proofErr w:type="spellEnd"/>
            <w:r w:rsidRPr="000449FC">
              <w:rPr>
                <w:rFonts w:ascii="Times New Roman" w:hAnsi="Times New Roman" w:cs="Times New Roman"/>
                <w:sz w:val="24"/>
                <w:szCs w:val="24"/>
              </w:rPr>
              <w:t xml:space="preserve"> окраше</w:t>
            </w:r>
            <w:r w:rsidRPr="000449FC">
              <w:rPr>
                <w:rFonts w:ascii="Times New Roman" w:hAnsi="Times New Roman" w:cs="Times New Roman"/>
                <w:sz w:val="24"/>
                <w:szCs w:val="24"/>
              </w:rPr>
              <w:t>н</w:t>
            </w:r>
            <w:r w:rsidRPr="000449FC">
              <w:rPr>
                <w:rFonts w:ascii="Times New Roman" w:hAnsi="Times New Roman" w:cs="Times New Roman"/>
                <w:sz w:val="24"/>
                <w:szCs w:val="24"/>
              </w:rPr>
              <w:t xml:space="preserve">ной кровельной сталью, при необходимости замену </w:t>
            </w:r>
            <w:proofErr w:type="spellStart"/>
            <w:r w:rsidRPr="000449FC">
              <w:rPr>
                <w:rFonts w:ascii="Times New Roman" w:hAnsi="Times New Roman" w:cs="Times New Roman"/>
                <w:sz w:val="24"/>
                <w:szCs w:val="24"/>
              </w:rPr>
              <w:t>вентшахт</w:t>
            </w:r>
            <w:proofErr w:type="spellEnd"/>
            <w:r w:rsidRPr="000449FC">
              <w:rPr>
                <w:rFonts w:ascii="Times New Roman" w:hAnsi="Times New Roman" w:cs="Times New Roman"/>
                <w:sz w:val="24"/>
                <w:szCs w:val="24"/>
              </w:rPr>
              <w:t xml:space="preserve">; </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наращивание полиэтиленовых трубопр</w:t>
            </w:r>
            <w:r w:rsidRPr="000449FC">
              <w:rPr>
                <w:rFonts w:ascii="Times New Roman" w:hAnsi="Times New Roman" w:cs="Times New Roman"/>
                <w:sz w:val="24"/>
                <w:szCs w:val="24"/>
              </w:rPr>
              <w:t>о</w:t>
            </w:r>
            <w:r w:rsidRPr="000449FC">
              <w:rPr>
                <w:rFonts w:ascii="Times New Roman" w:hAnsi="Times New Roman" w:cs="Times New Roman"/>
                <w:sz w:val="24"/>
                <w:szCs w:val="24"/>
              </w:rPr>
              <w:t>водов канализации с выводом на крышу высотой 1 м и устройством обделок;</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-устройство </w:t>
            </w:r>
            <w:proofErr w:type="spellStart"/>
            <w:r w:rsidRPr="000449FC">
              <w:rPr>
                <w:rFonts w:ascii="Times New Roman" w:hAnsi="Times New Roman" w:cs="Times New Roman"/>
                <w:sz w:val="24"/>
                <w:szCs w:val="24"/>
              </w:rPr>
              <w:t>молниезащиты</w:t>
            </w:r>
            <w:proofErr w:type="spellEnd"/>
            <w:r w:rsidRPr="000449FC">
              <w:rPr>
                <w:rFonts w:ascii="Times New Roman" w:hAnsi="Times New Roman" w:cs="Times New Roman"/>
                <w:sz w:val="24"/>
                <w:szCs w:val="24"/>
              </w:rPr>
              <w:t>;</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устройство дефлекторов и замена зонтов.</w:t>
            </w:r>
          </w:p>
        </w:tc>
      </w:tr>
      <w:tr w:rsidR="000449FC" w:rsidRPr="000449FC" w:rsidTr="00C72456">
        <w:tc>
          <w:tcPr>
            <w:tcW w:w="4644" w:type="dxa"/>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8. Требования к сроку и (или) объ</w:t>
            </w:r>
            <w:r w:rsidRPr="000449FC">
              <w:rPr>
                <w:rFonts w:ascii="Times New Roman" w:hAnsi="Times New Roman" w:cs="Times New Roman"/>
                <w:sz w:val="24"/>
                <w:szCs w:val="24"/>
              </w:rPr>
              <w:t>е</w:t>
            </w:r>
            <w:r w:rsidRPr="000449FC">
              <w:rPr>
                <w:rFonts w:ascii="Times New Roman" w:hAnsi="Times New Roman" w:cs="Times New Roman"/>
                <w:sz w:val="24"/>
                <w:szCs w:val="24"/>
              </w:rPr>
              <w:t>му предоставления гарантий кач</w:t>
            </w:r>
            <w:r w:rsidRPr="000449FC">
              <w:rPr>
                <w:rFonts w:ascii="Times New Roman" w:hAnsi="Times New Roman" w:cs="Times New Roman"/>
                <w:sz w:val="24"/>
                <w:szCs w:val="24"/>
              </w:rPr>
              <w:t>е</w:t>
            </w:r>
            <w:r w:rsidRPr="000449FC">
              <w:rPr>
                <w:rFonts w:ascii="Times New Roman" w:hAnsi="Times New Roman" w:cs="Times New Roman"/>
                <w:sz w:val="24"/>
                <w:szCs w:val="24"/>
              </w:rPr>
              <w:t>ства работ</w:t>
            </w:r>
          </w:p>
        </w:tc>
        <w:tc>
          <w:tcPr>
            <w:tcW w:w="5529" w:type="dxa"/>
            <w:tcBorders>
              <w:bottom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2. Гарантии качества распространяются на все результаты Работ, выполненных По</w:t>
            </w:r>
            <w:r w:rsidRPr="000449FC">
              <w:rPr>
                <w:rFonts w:ascii="Times New Roman" w:hAnsi="Times New Roman" w:cs="Times New Roman"/>
                <w:sz w:val="24"/>
                <w:szCs w:val="24"/>
              </w:rPr>
              <w:t>д</w:t>
            </w:r>
            <w:r w:rsidRPr="000449FC">
              <w:rPr>
                <w:rFonts w:ascii="Times New Roman" w:hAnsi="Times New Roman" w:cs="Times New Roman"/>
                <w:sz w:val="24"/>
                <w:szCs w:val="24"/>
              </w:rPr>
              <w:t>рядчиком по Договору подряда.</w:t>
            </w:r>
          </w:p>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 xml:space="preserve">3. </w:t>
            </w:r>
            <w:proofErr w:type="gramStart"/>
            <w:r w:rsidRPr="000449FC">
              <w:rPr>
                <w:rFonts w:ascii="Times New Roman" w:hAnsi="Times New Roman" w:cs="Times New Roman"/>
                <w:sz w:val="24"/>
                <w:szCs w:val="24"/>
              </w:rPr>
              <w:t xml:space="preserve">В соответствии с условиями договора подряда </w:t>
            </w:r>
            <w:r w:rsidRPr="000449FC">
              <w:rPr>
                <w:rFonts w:ascii="Times New Roman" w:hAnsi="Times New Roman" w:cs="Times New Roman"/>
                <w:sz w:val="24"/>
                <w:szCs w:val="24"/>
              </w:rPr>
              <w:lastRenderedPageBreak/>
              <w:t>Страхование риска случайной гибели или случайного повреждения, выпо</w:t>
            </w:r>
            <w:r w:rsidRPr="000449FC">
              <w:rPr>
                <w:rFonts w:ascii="Times New Roman" w:hAnsi="Times New Roman" w:cs="Times New Roman"/>
                <w:sz w:val="24"/>
                <w:szCs w:val="24"/>
              </w:rPr>
              <w:t>л</w:t>
            </w:r>
            <w:r w:rsidRPr="000449FC">
              <w:rPr>
                <w:rFonts w:ascii="Times New Roman" w:hAnsi="Times New Roman" w:cs="Times New Roman"/>
                <w:sz w:val="24"/>
                <w:szCs w:val="24"/>
              </w:rPr>
              <w:t>няемых Подрядчиком ремонтных работ (включая материалы, оборудование и др</w:t>
            </w:r>
            <w:r w:rsidRPr="000449FC">
              <w:rPr>
                <w:rFonts w:ascii="Times New Roman" w:hAnsi="Times New Roman" w:cs="Times New Roman"/>
                <w:sz w:val="24"/>
                <w:szCs w:val="24"/>
              </w:rPr>
              <w:t>у</w:t>
            </w:r>
            <w:r w:rsidRPr="000449FC">
              <w:rPr>
                <w:rFonts w:ascii="Times New Roman" w:hAnsi="Times New Roman" w:cs="Times New Roman"/>
                <w:sz w:val="24"/>
                <w:szCs w:val="24"/>
              </w:rPr>
              <w:t>гое имущества, являющееся предметом в</w:t>
            </w:r>
            <w:r w:rsidRPr="000449FC">
              <w:rPr>
                <w:rFonts w:ascii="Times New Roman" w:hAnsi="Times New Roman" w:cs="Times New Roman"/>
                <w:sz w:val="24"/>
                <w:szCs w:val="24"/>
              </w:rPr>
              <w:t>ы</w:t>
            </w:r>
            <w:r w:rsidRPr="000449FC">
              <w:rPr>
                <w:rFonts w:ascii="Times New Roman" w:hAnsi="Times New Roman" w:cs="Times New Roman"/>
                <w:sz w:val="24"/>
                <w:szCs w:val="24"/>
              </w:rPr>
              <w:t>полняемых ремонтных работ) на Объекте на условиях «все риски», в том числе вследствие недостатков, ошибок или уп</w:t>
            </w:r>
            <w:r w:rsidRPr="000449FC">
              <w:rPr>
                <w:rFonts w:ascii="Times New Roman" w:hAnsi="Times New Roman" w:cs="Times New Roman"/>
                <w:sz w:val="24"/>
                <w:szCs w:val="24"/>
              </w:rPr>
              <w:t>у</w:t>
            </w:r>
            <w:r w:rsidRPr="000449FC">
              <w:rPr>
                <w:rFonts w:ascii="Times New Roman" w:hAnsi="Times New Roman" w:cs="Times New Roman"/>
                <w:sz w:val="24"/>
                <w:szCs w:val="24"/>
              </w:rPr>
              <w:t>щений, допущенных при производстве строительно-монтажных работ до подпис</w:t>
            </w:r>
            <w:r w:rsidRPr="000449FC">
              <w:rPr>
                <w:rFonts w:ascii="Times New Roman" w:hAnsi="Times New Roman" w:cs="Times New Roman"/>
                <w:sz w:val="24"/>
                <w:szCs w:val="24"/>
              </w:rPr>
              <w:t>а</w:t>
            </w:r>
            <w:r w:rsidRPr="000449FC">
              <w:rPr>
                <w:rFonts w:ascii="Times New Roman" w:hAnsi="Times New Roman" w:cs="Times New Roman"/>
                <w:sz w:val="24"/>
                <w:szCs w:val="24"/>
              </w:rPr>
              <w:t>ния акта приемки завершенных работ по капитальному ремонту, выявленных в п</w:t>
            </w:r>
            <w:r w:rsidRPr="000449FC">
              <w:rPr>
                <w:rFonts w:ascii="Times New Roman" w:hAnsi="Times New Roman" w:cs="Times New Roman"/>
                <w:sz w:val="24"/>
                <w:szCs w:val="24"/>
              </w:rPr>
              <w:t>е</w:t>
            </w:r>
            <w:r w:rsidRPr="000449FC">
              <w:rPr>
                <w:rFonts w:ascii="Times New Roman" w:hAnsi="Times New Roman" w:cs="Times New Roman"/>
                <w:sz w:val="24"/>
                <w:szCs w:val="24"/>
              </w:rPr>
              <w:t>риод гарантийных</w:t>
            </w:r>
            <w:proofErr w:type="gramEnd"/>
            <w:r w:rsidRPr="000449FC">
              <w:rPr>
                <w:rFonts w:ascii="Times New Roman" w:hAnsi="Times New Roman" w:cs="Times New Roman"/>
                <w:sz w:val="24"/>
                <w:szCs w:val="24"/>
              </w:rPr>
              <w:t xml:space="preserve"> обязательств.</w:t>
            </w:r>
          </w:p>
        </w:tc>
      </w:tr>
      <w:tr w:rsidR="000449FC" w:rsidRPr="000449FC" w:rsidTr="00C72456">
        <w:tc>
          <w:tcPr>
            <w:tcW w:w="4644" w:type="dxa"/>
            <w:tcBorders>
              <w:top w:val="single" w:sz="4" w:space="0" w:color="auto"/>
              <w:left w:val="single" w:sz="4" w:space="0" w:color="auto"/>
              <w:bottom w:val="single" w:sz="4" w:space="0" w:color="auto"/>
              <w:right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lastRenderedPageBreak/>
              <w:t>9. Особые условия</w:t>
            </w:r>
          </w:p>
        </w:tc>
        <w:tc>
          <w:tcPr>
            <w:tcW w:w="5529" w:type="dxa"/>
            <w:tcBorders>
              <w:top w:val="single" w:sz="4" w:space="0" w:color="auto"/>
              <w:left w:val="single" w:sz="4" w:space="0" w:color="auto"/>
              <w:bottom w:val="single" w:sz="4" w:space="0" w:color="auto"/>
              <w:right w:val="single" w:sz="4" w:space="0" w:color="auto"/>
            </w:tcBorders>
          </w:tcPr>
          <w:p w:rsidR="000449FC" w:rsidRPr="000449FC" w:rsidRDefault="000449FC" w:rsidP="00C72456">
            <w:pPr>
              <w:rPr>
                <w:rFonts w:ascii="Times New Roman" w:hAnsi="Times New Roman" w:cs="Times New Roman"/>
                <w:sz w:val="24"/>
                <w:szCs w:val="24"/>
              </w:rPr>
            </w:pPr>
            <w:r w:rsidRPr="000449FC">
              <w:rPr>
                <w:rFonts w:ascii="Times New Roman" w:hAnsi="Times New Roman" w:cs="Times New Roman"/>
                <w:sz w:val="24"/>
                <w:szCs w:val="24"/>
              </w:rPr>
              <w:t>1. Порядок проведения,  состав выполня</w:t>
            </w:r>
            <w:r w:rsidRPr="000449FC">
              <w:rPr>
                <w:rFonts w:ascii="Times New Roman" w:hAnsi="Times New Roman" w:cs="Times New Roman"/>
                <w:sz w:val="24"/>
                <w:szCs w:val="24"/>
              </w:rPr>
              <w:t>е</w:t>
            </w:r>
            <w:r w:rsidRPr="000449FC">
              <w:rPr>
                <w:rFonts w:ascii="Times New Roman" w:hAnsi="Times New Roman" w:cs="Times New Roman"/>
                <w:sz w:val="24"/>
                <w:szCs w:val="24"/>
              </w:rPr>
              <w:t>мых работ и применяемый материал согласовываются с Зака</w:t>
            </w:r>
            <w:r w:rsidRPr="000449FC">
              <w:rPr>
                <w:rFonts w:ascii="Times New Roman" w:hAnsi="Times New Roman" w:cs="Times New Roman"/>
                <w:sz w:val="24"/>
                <w:szCs w:val="24"/>
              </w:rPr>
              <w:t>з</w:t>
            </w:r>
            <w:r w:rsidRPr="000449FC">
              <w:rPr>
                <w:rFonts w:ascii="Times New Roman" w:hAnsi="Times New Roman" w:cs="Times New Roman"/>
                <w:sz w:val="24"/>
                <w:szCs w:val="24"/>
              </w:rPr>
              <w:t>чиком.</w:t>
            </w:r>
          </w:p>
          <w:p w:rsidR="000449FC" w:rsidRPr="000449FC" w:rsidRDefault="000449FC" w:rsidP="00C72456">
            <w:pPr>
              <w:snapToGrid w:val="0"/>
              <w:rPr>
                <w:rFonts w:ascii="Times New Roman" w:hAnsi="Times New Roman" w:cs="Times New Roman"/>
                <w:sz w:val="24"/>
                <w:szCs w:val="24"/>
              </w:rPr>
            </w:pPr>
            <w:r w:rsidRPr="000449FC">
              <w:rPr>
                <w:rFonts w:ascii="Times New Roman" w:hAnsi="Times New Roman" w:cs="Times New Roman"/>
                <w:sz w:val="24"/>
                <w:szCs w:val="24"/>
              </w:rPr>
              <w:t>2. Исполнитель предоставляет исполнительную документацию по выпо</w:t>
            </w:r>
            <w:r w:rsidRPr="000449FC">
              <w:rPr>
                <w:rFonts w:ascii="Times New Roman" w:hAnsi="Times New Roman" w:cs="Times New Roman"/>
                <w:sz w:val="24"/>
                <w:szCs w:val="24"/>
              </w:rPr>
              <w:t>л</w:t>
            </w:r>
            <w:r w:rsidRPr="000449FC">
              <w:rPr>
                <w:rFonts w:ascii="Times New Roman" w:hAnsi="Times New Roman" w:cs="Times New Roman"/>
                <w:sz w:val="24"/>
                <w:szCs w:val="24"/>
              </w:rPr>
              <w:t>ненным работам и используемым материалам (па</w:t>
            </w:r>
            <w:r w:rsidRPr="000449FC">
              <w:rPr>
                <w:rFonts w:ascii="Times New Roman" w:hAnsi="Times New Roman" w:cs="Times New Roman"/>
                <w:sz w:val="24"/>
                <w:szCs w:val="24"/>
              </w:rPr>
              <w:t>с</w:t>
            </w:r>
            <w:r w:rsidRPr="000449FC">
              <w:rPr>
                <w:rFonts w:ascii="Times New Roman" w:hAnsi="Times New Roman" w:cs="Times New Roman"/>
                <w:sz w:val="24"/>
                <w:szCs w:val="24"/>
              </w:rPr>
              <w:t>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Д О Г О В О Р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При этом,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36513"/>
    <w:rsid w:val="000428A5"/>
    <w:rsid w:val="000449FC"/>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0F64DC"/>
    <w:rsid w:val="0010146B"/>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4BC8"/>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A6F4F"/>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D570C"/>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A409D"/>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 w:type="paragraph" w:customStyle="1" w:styleId="CM23">
    <w:name w:val="CM23"/>
    <w:basedOn w:val="a0"/>
    <w:next w:val="a0"/>
    <w:uiPriority w:val="99"/>
    <w:rsid w:val="00DA409D"/>
    <w:pPr>
      <w:widowControl w:val="0"/>
      <w:autoSpaceDE w:val="0"/>
      <w:autoSpaceDN w:val="0"/>
      <w:adjustRightInd w:val="0"/>
      <w:spacing w:line="240"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AA416-9F1A-4F90-A173-EC8ADFB4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12190</Words>
  <Characters>69486</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16</cp:revision>
  <cp:lastPrinted>2015-12-15T03:54:00Z</cp:lastPrinted>
  <dcterms:created xsi:type="dcterms:W3CDTF">2015-12-22T17:03:00Z</dcterms:created>
  <dcterms:modified xsi:type="dcterms:W3CDTF">2016-03-31T09:41:00Z</dcterms:modified>
</cp:coreProperties>
</file>