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BB751E">
              <w:rPr>
                <w:color w:val="1F497D" w:themeColor="text2"/>
                <w:sz w:val="24"/>
                <w:szCs w:val="24"/>
              </w:rPr>
              <w:t>ул</w:t>
            </w:r>
            <w:proofErr w:type="gramStart"/>
            <w:r w:rsidR="00BB751E">
              <w:rPr>
                <w:color w:val="1F497D" w:themeColor="text2"/>
                <w:sz w:val="24"/>
                <w:szCs w:val="24"/>
              </w:rPr>
              <w:t>.Б</w:t>
            </w:r>
            <w:proofErr w:type="gramEnd"/>
            <w:r w:rsidR="00BB751E">
              <w:rPr>
                <w:color w:val="1F497D" w:themeColor="text2"/>
                <w:sz w:val="24"/>
                <w:szCs w:val="24"/>
              </w:rPr>
              <w:t>ессонова</w:t>
            </w:r>
            <w:proofErr w:type="spellEnd"/>
            <w:r w:rsidR="00BB751E">
              <w:rPr>
                <w:color w:val="1F497D" w:themeColor="text2"/>
                <w:sz w:val="24"/>
                <w:szCs w:val="24"/>
              </w:rPr>
              <w:t>, д.5</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99030F">
            <w:pPr>
              <w:pStyle w:val="ConsPlusCell"/>
              <w:jc w:val="center"/>
              <w:rPr>
                <w:sz w:val="24"/>
                <w:szCs w:val="24"/>
              </w:rPr>
            </w:pPr>
            <w:r>
              <w:rPr>
                <w:sz w:val="24"/>
                <w:szCs w:val="24"/>
              </w:rPr>
              <w:t>2</w:t>
            </w:r>
            <w:r w:rsidR="0099030F">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ф</w:t>
            </w:r>
            <w:r w:rsidR="0062440D">
              <w:rPr>
                <w:rFonts w:ascii="Times New Roman" w:hAnsi="Times New Roman" w:cs="Times New Roman"/>
                <w:color w:val="1F497D" w:themeColor="text2"/>
                <w:sz w:val="24"/>
                <w:szCs w:val="24"/>
              </w:rPr>
              <w:t>асада</w:t>
            </w:r>
            <w:r>
              <w:rPr>
                <w:rFonts w:ascii="Times New Roman" w:hAnsi="Times New Roman" w:cs="Times New Roman"/>
                <w:color w:val="1F497D" w:themeColor="text2"/>
                <w:sz w:val="24"/>
                <w:szCs w:val="24"/>
              </w:rPr>
              <w:t xml:space="preserve"> и 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902663" w:rsidP="00BB751E">
            <w:pPr>
              <w:pStyle w:val="ConsPlusCell"/>
              <w:jc w:val="center"/>
              <w:rPr>
                <w:color w:val="1F497D" w:themeColor="text2"/>
                <w:sz w:val="24"/>
                <w:szCs w:val="24"/>
              </w:rPr>
            </w:pPr>
            <w:proofErr w:type="spellStart"/>
            <w:r w:rsidRPr="00902663">
              <w:rPr>
                <w:color w:val="1F497D" w:themeColor="text2"/>
                <w:sz w:val="24"/>
                <w:szCs w:val="24"/>
              </w:rPr>
              <w:t>ул</w:t>
            </w:r>
            <w:proofErr w:type="gramStart"/>
            <w:r w:rsidRPr="00902663">
              <w:rPr>
                <w:color w:val="1F497D" w:themeColor="text2"/>
                <w:sz w:val="24"/>
                <w:szCs w:val="24"/>
              </w:rPr>
              <w:t>.Б</w:t>
            </w:r>
            <w:proofErr w:type="gramEnd"/>
            <w:r w:rsidRPr="00902663">
              <w:rPr>
                <w:color w:val="1F497D" w:themeColor="text2"/>
                <w:sz w:val="24"/>
                <w:szCs w:val="24"/>
              </w:rPr>
              <w:t>ессонова</w:t>
            </w:r>
            <w:proofErr w:type="spellEnd"/>
            <w:r w:rsidRPr="00902663">
              <w:rPr>
                <w:color w:val="1F497D" w:themeColor="text2"/>
                <w:sz w:val="24"/>
                <w:szCs w:val="24"/>
              </w:rPr>
              <w:t>, д.</w:t>
            </w:r>
            <w:r w:rsidR="00BB751E">
              <w:rPr>
                <w:color w:val="1F497D" w:themeColor="text2"/>
                <w:sz w:val="24"/>
                <w:szCs w:val="24"/>
              </w:rPr>
              <w:t>5</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D27039"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6 76</w:t>
            </w:r>
            <w:r w:rsidR="00BB751E">
              <w:rPr>
                <w:rFonts w:ascii="Times New Roman" w:hAnsi="Times New Roman" w:cs="Times New Roman"/>
                <w:color w:val="1F497D" w:themeColor="text2"/>
                <w:sz w:val="24"/>
                <w:szCs w:val="24"/>
              </w:rPr>
              <w:t>0</w:t>
            </w:r>
            <w:r w:rsidR="00902663">
              <w:rPr>
                <w:rFonts w:ascii="Times New Roman" w:hAnsi="Times New Roman" w:cs="Times New Roman"/>
                <w:color w:val="1F497D" w:themeColor="text2"/>
                <w:sz w:val="24"/>
                <w:szCs w:val="24"/>
              </w:rPr>
              <w:t xml:space="preserve"> 000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99030F">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99030F">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784786">
              <w:rPr>
                <w:rFonts w:ascii="Times New Roman" w:eastAsia="Times New Roman" w:hAnsi="Times New Roman" w:cs="Times New Roman"/>
                <w:i/>
                <w:color w:val="1F497D" w:themeColor="text2"/>
                <w:sz w:val="24"/>
                <w:szCs w:val="24"/>
                <w:lang w:eastAsia="ru-RU"/>
              </w:rPr>
              <w:t>31.12.2015г. и 16.01.2016г.</w:t>
            </w:r>
            <w:r w:rsidR="00784786">
              <w:rPr>
                <w:rFonts w:ascii="Times New Roman" w:eastAsia="Times New Roman" w:hAnsi="Times New Roman" w:cs="Times New Roman"/>
                <w:i/>
                <w:sz w:val="24"/>
                <w:szCs w:val="24"/>
                <w:lang w:eastAsia="ru-RU"/>
              </w:rPr>
              <w:t xml:space="preserve"> </w:t>
            </w:r>
            <w:r w:rsidR="00784786">
              <w:rPr>
                <w:rFonts w:ascii="Times New Roman" w:eastAsia="Times New Roman" w:hAnsi="Times New Roman" w:cs="Times New Roman"/>
                <w:i/>
                <w:color w:val="1F497D" w:themeColor="text2"/>
                <w:sz w:val="24"/>
                <w:szCs w:val="24"/>
                <w:lang w:eastAsia="ru-RU"/>
              </w:rPr>
              <w:t>с 09.00 часов до 12.00 часов</w:t>
            </w:r>
            <w:r w:rsidR="007847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99030F"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9030F"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BB751E">
        <w:rPr>
          <w:rFonts w:ascii="Times New Roman" w:hAnsi="Times New Roman" w:cs="Times New Roman"/>
          <w:b/>
          <w:i/>
          <w:sz w:val="28"/>
          <w:szCs w:val="28"/>
        </w:rPr>
        <w:t>ул</w:t>
      </w:r>
      <w:proofErr w:type="gramStart"/>
      <w:r w:rsidR="00BB751E">
        <w:rPr>
          <w:rFonts w:ascii="Times New Roman" w:hAnsi="Times New Roman" w:cs="Times New Roman"/>
          <w:b/>
          <w:i/>
          <w:sz w:val="28"/>
          <w:szCs w:val="28"/>
        </w:rPr>
        <w:t>.Б</w:t>
      </w:r>
      <w:proofErr w:type="gramEnd"/>
      <w:r w:rsidR="00BB751E">
        <w:rPr>
          <w:rFonts w:ascii="Times New Roman" w:hAnsi="Times New Roman" w:cs="Times New Roman"/>
          <w:b/>
          <w:i/>
          <w:sz w:val="28"/>
          <w:szCs w:val="28"/>
        </w:rPr>
        <w:t>ессонова</w:t>
      </w:r>
      <w:proofErr w:type="spellEnd"/>
      <w:r w:rsidR="00BB751E">
        <w:rPr>
          <w:rFonts w:ascii="Times New Roman" w:hAnsi="Times New Roman" w:cs="Times New Roman"/>
          <w:b/>
          <w:i/>
          <w:sz w:val="28"/>
          <w:szCs w:val="28"/>
        </w:rPr>
        <w:t>, д.5</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62440D">
              <w:rPr>
                <w:rFonts w:ascii="Times New Roman" w:hAnsi="Times New Roman" w:cs="Times New Roman"/>
                <w:sz w:val="24"/>
                <w:szCs w:val="24"/>
              </w:rPr>
              <w:t>фасада</w:t>
            </w:r>
            <w:r w:rsidR="00D27039">
              <w:rPr>
                <w:rFonts w:ascii="Times New Roman" w:hAnsi="Times New Roman" w:cs="Times New Roman"/>
                <w:sz w:val="24"/>
                <w:szCs w:val="24"/>
              </w:rPr>
              <w:t xml:space="preserve"> и крыши</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 xml:space="preserve">Начальная максимально допустимая цена договора подряда, с НДС, </w:t>
            </w:r>
            <w:proofErr w:type="spellStart"/>
            <w:r w:rsidRPr="00E80178">
              <w:rPr>
                <w:rFonts w:ascii="Times New Roman" w:hAnsi="Times New Roman" w:cs="Times New Roman"/>
                <w:color w:val="000000"/>
                <w:sz w:val="24"/>
                <w:szCs w:val="24"/>
              </w:rPr>
              <w:t>руб</w:t>
            </w:r>
            <w:proofErr w:type="spellEnd"/>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736F6C">
              <w:rPr>
                <w:rFonts w:ascii="Times New Roman" w:hAnsi="Times New Roman" w:cs="Times New Roman"/>
                <w:sz w:val="24"/>
                <w:szCs w:val="24"/>
              </w:rPr>
              <w:t>5</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BB751E">
              <w:rPr>
                <w:rFonts w:ascii="Times New Roman" w:hAnsi="Times New Roman" w:cs="Times New Roman"/>
                <w:sz w:val="24"/>
                <w:szCs w:val="24"/>
              </w:rPr>
              <w:t>183</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513A13" w:rsidRPr="00513A13">
              <w:rPr>
                <w:rFonts w:ascii="Times New Roman" w:hAnsi="Times New Roman" w:cs="Times New Roman"/>
                <w:sz w:val="24"/>
                <w:szCs w:val="24"/>
              </w:rPr>
              <w:t>каменные, кирпичные</w:t>
            </w:r>
          </w:p>
          <w:p w:rsidR="007F351A" w:rsidRPr="00E80178" w:rsidRDefault="007F351A" w:rsidP="000C3BC7">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BB751E" w:rsidRPr="00BB751E">
              <w:rPr>
                <w:rFonts w:ascii="Times New Roman" w:hAnsi="Times New Roman" w:cs="Times New Roman"/>
                <w:sz w:val="24"/>
                <w:szCs w:val="24"/>
              </w:rPr>
              <w:t>шиферная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7F351A" w:rsidRPr="00E80178" w:rsidRDefault="0078602F" w:rsidP="008944AD">
            <w:pPr>
              <w:rPr>
                <w:rFonts w:ascii="Times New Roman" w:hAnsi="Times New Roman" w:cs="Times New Roman"/>
                <w:b/>
                <w:sz w:val="24"/>
                <w:szCs w:val="24"/>
              </w:rPr>
            </w:pPr>
            <w:r w:rsidRPr="00E80178">
              <w:rPr>
                <w:rFonts w:ascii="Times New Roman" w:hAnsi="Times New Roman" w:cs="Times New Roman"/>
                <w:b/>
                <w:sz w:val="24"/>
                <w:szCs w:val="24"/>
              </w:rPr>
              <w:t xml:space="preserve">Ремонт </w:t>
            </w:r>
            <w:r w:rsidR="0062440D">
              <w:rPr>
                <w:rFonts w:ascii="Times New Roman" w:hAnsi="Times New Roman" w:cs="Times New Roman"/>
                <w:b/>
                <w:sz w:val="24"/>
                <w:szCs w:val="24"/>
              </w:rPr>
              <w:t>фасада</w:t>
            </w:r>
            <w:r w:rsidR="007F351A" w:rsidRPr="00E80178">
              <w:rPr>
                <w:rFonts w:ascii="Times New Roman" w:hAnsi="Times New Roman" w:cs="Times New Roman"/>
                <w:b/>
                <w:sz w:val="24"/>
                <w:szCs w:val="24"/>
              </w:rPr>
              <w:t>:</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Ремонт фасада:</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xml:space="preserve">- отбивка штукатурки фасадов, откосов; </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штукатурка фасадов по штукатурной сетке;</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цоколя высоту существующего цоколя;</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торцов низа балконных плит;</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заделка стыков между карнизными</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плитами, затирка и окраска низа карнизных и балконных плит, козырьков входов;</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окраска фасадов по штукатурке или по фактурному слою акриловой краской, откосов фасадной краской;</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окраска оконных и балконных заполнений со стороны фасадов;</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устройство мелких покрытий (поясков из листовой оцинкованной стали;</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xml:space="preserve">- замена экранов балконов на окрашенный </w:t>
            </w:r>
            <w:proofErr w:type="spellStart"/>
            <w:r w:rsidRPr="0062440D">
              <w:rPr>
                <w:rFonts w:ascii="Times New Roman" w:hAnsi="Times New Roman" w:cs="Times New Roman"/>
                <w:sz w:val="24"/>
                <w:szCs w:val="24"/>
              </w:rPr>
              <w:t>профнастил</w:t>
            </w:r>
            <w:proofErr w:type="spellEnd"/>
            <w:r w:rsidRPr="0062440D">
              <w:rPr>
                <w:rFonts w:ascii="Times New Roman" w:hAnsi="Times New Roman" w:cs="Times New Roman"/>
                <w:sz w:val="24"/>
                <w:szCs w:val="24"/>
              </w:rPr>
              <w:t xml:space="preserve"> по каркасу из гнутого профиля до низа балконных плит;</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замена оконных и балконных отливов;</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замена деревянных оконных блоков в местах общего пользования на пластиковые, с однокамерными стеклопакетами с открывающимися створками;</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установка металлических жалюзийных решеток с сеткой и глухих створок на продухи подвала;</w:t>
            </w:r>
          </w:p>
          <w:p w:rsidR="0062440D" w:rsidRPr="0062440D"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ремонт крылец с устройством ограждений, пандусов;</w:t>
            </w:r>
          </w:p>
          <w:p w:rsidR="007F351A" w:rsidRDefault="0062440D" w:rsidP="0062440D">
            <w:pPr>
              <w:rPr>
                <w:rFonts w:ascii="Times New Roman" w:hAnsi="Times New Roman" w:cs="Times New Roman"/>
                <w:sz w:val="24"/>
                <w:szCs w:val="24"/>
              </w:rPr>
            </w:pPr>
            <w:r w:rsidRPr="0062440D">
              <w:rPr>
                <w:rFonts w:ascii="Times New Roman" w:hAnsi="Times New Roman" w:cs="Times New Roman"/>
                <w:sz w:val="24"/>
                <w:szCs w:val="24"/>
              </w:rPr>
              <w:t xml:space="preserve">- ремонт </w:t>
            </w:r>
            <w:proofErr w:type="spellStart"/>
            <w:r w:rsidRPr="0062440D">
              <w:rPr>
                <w:rFonts w:ascii="Times New Roman" w:hAnsi="Times New Roman" w:cs="Times New Roman"/>
                <w:sz w:val="24"/>
                <w:szCs w:val="24"/>
              </w:rPr>
              <w:t>отмосток</w:t>
            </w:r>
            <w:proofErr w:type="spellEnd"/>
            <w:r w:rsidRPr="0062440D">
              <w:rPr>
                <w:rFonts w:ascii="Times New Roman" w:hAnsi="Times New Roman" w:cs="Times New Roman"/>
                <w:sz w:val="24"/>
                <w:szCs w:val="24"/>
              </w:rPr>
              <w:t>.</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Ремонт крыши:</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Замена кровельного покрытия на профилированный лист с полимерным защитным слоем.</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lastRenderedPageBreak/>
              <w:t>Устройство карнизных свесов из стали листовой толщиной 2 мм с применением электродуговой сварки</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 xml:space="preserve">Смена обрешетки сплошным настилом под  карнизные свесы и коньком. </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 xml:space="preserve">Частичное устройство и замена  разряженной обрешетки, ремонт и замена  неисправных деревянных конструкций (стропильных ног, </w:t>
            </w:r>
            <w:proofErr w:type="spellStart"/>
            <w:r w:rsidRPr="00D27039">
              <w:rPr>
                <w:rFonts w:ascii="Times New Roman" w:hAnsi="Times New Roman" w:cs="Times New Roman"/>
                <w:sz w:val="24"/>
                <w:szCs w:val="24"/>
              </w:rPr>
              <w:t>мауэрлатов</w:t>
            </w:r>
            <w:proofErr w:type="spellEnd"/>
            <w:r w:rsidRPr="00D27039">
              <w:rPr>
                <w:rFonts w:ascii="Times New Roman" w:hAnsi="Times New Roman" w:cs="Times New Roman"/>
                <w:sz w:val="24"/>
                <w:szCs w:val="24"/>
              </w:rPr>
              <w:t xml:space="preserve"> и т.д.)</w:t>
            </w:r>
          </w:p>
          <w:p w:rsidR="00D27039" w:rsidRPr="00D27039"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Устройство ограждения кровли (парапетная решётка)</w:t>
            </w:r>
          </w:p>
          <w:p w:rsidR="00D27039" w:rsidRPr="00E80178" w:rsidRDefault="00D27039" w:rsidP="00D27039">
            <w:pPr>
              <w:rPr>
                <w:rFonts w:ascii="Times New Roman" w:hAnsi="Times New Roman" w:cs="Times New Roman"/>
                <w:sz w:val="24"/>
                <w:szCs w:val="24"/>
              </w:rPr>
            </w:pPr>
            <w:r w:rsidRPr="00D27039">
              <w:rPr>
                <w:rFonts w:ascii="Times New Roman" w:hAnsi="Times New Roman" w:cs="Times New Roman"/>
                <w:sz w:val="24"/>
                <w:szCs w:val="24"/>
              </w:rPr>
              <w:t>Огнезащитная обработка деревянных конструкций.</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lastRenderedPageBreak/>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AAB" w:rsidRDefault="008E1AAB" w:rsidP="007E24AC">
      <w:r>
        <w:separator/>
      </w:r>
    </w:p>
  </w:endnote>
  <w:endnote w:type="continuationSeparator" w:id="0">
    <w:p w:rsidR="008E1AAB" w:rsidRDefault="008E1AAB"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AAB" w:rsidRDefault="008E1AAB" w:rsidP="007E24AC">
      <w:r>
        <w:separator/>
      </w:r>
    </w:p>
  </w:footnote>
  <w:footnote w:type="continuationSeparator" w:id="0">
    <w:p w:rsidR="008E1AAB" w:rsidRDefault="008E1AAB"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7332C"/>
    <w:rsid w:val="0069388A"/>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47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030F"/>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6883"/>
    <w:rsid w:val="00B33D25"/>
    <w:rsid w:val="00B37846"/>
    <w:rsid w:val="00B520B4"/>
    <w:rsid w:val="00B6000C"/>
    <w:rsid w:val="00B649AE"/>
    <w:rsid w:val="00B7081A"/>
    <w:rsid w:val="00B924EA"/>
    <w:rsid w:val="00B96A1C"/>
    <w:rsid w:val="00B96A2D"/>
    <w:rsid w:val="00BB2A6A"/>
    <w:rsid w:val="00BB751E"/>
    <w:rsid w:val="00BC21D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BD7E-BC8A-4C8E-A732-6A0926E5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12344</Words>
  <Characters>70367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13</cp:revision>
  <cp:lastPrinted>2015-12-15T03:54:00Z</cp:lastPrinted>
  <dcterms:created xsi:type="dcterms:W3CDTF">2015-12-22T10:50:00Z</dcterms:created>
  <dcterms:modified xsi:type="dcterms:W3CDTF">2015-12-26T06:53:00Z</dcterms:modified>
</cp:coreProperties>
</file>