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4C30F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480C89" w:rsidRPr="00480C89">
              <w:rPr>
                <w:color w:val="1F497D" w:themeColor="text2"/>
                <w:sz w:val="24"/>
                <w:szCs w:val="24"/>
              </w:rPr>
              <w:t>ул</w:t>
            </w:r>
            <w:proofErr w:type="gramStart"/>
            <w:r w:rsidR="00480C89" w:rsidRPr="00480C89">
              <w:rPr>
                <w:color w:val="1F497D" w:themeColor="text2"/>
                <w:sz w:val="24"/>
                <w:szCs w:val="24"/>
              </w:rPr>
              <w:t>.К</w:t>
            </w:r>
            <w:proofErr w:type="gramEnd"/>
            <w:r w:rsidR="00480C89" w:rsidRPr="00480C89">
              <w:rPr>
                <w:color w:val="1F497D" w:themeColor="text2"/>
                <w:sz w:val="24"/>
                <w:szCs w:val="24"/>
              </w:rPr>
              <w:t>арла</w:t>
            </w:r>
            <w:proofErr w:type="spellEnd"/>
            <w:r w:rsidR="00480C89" w:rsidRPr="00480C89">
              <w:rPr>
                <w:color w:val="1F497D" w:themeColor="text2"/>
                <w:sz w:val="24"/>
                <w:szCs w:val="24"/>
              </w:rPr>
              <w:t xml:space="preserve"> Маркса, д.52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D721EE">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AE5FD9" w:rsidRDefault="00DC5CEA" w:rsidP="00AE5FD9">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C5CEA" w:rsidP="00AE5FD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системы водоснабжения и водоотведения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80C89" w:rsidP="0086188B">
            <w:pPr>
              <w:pStyle w:val="ConsPlusCell"/>
              <w:jc w:val="center"/>
              <w:rPr>
                <w:color w:val="1F497D" w:themeColor="text2"/>
                <w:sz w:val="24"/>
                <w:szCs w:val="24"/>
              </w:rPr>
            </w:pPr>
            <w:proofErr w:type="spellStart"/>
            <w:r w:rsidRPr="00480C89">
              <w:rPr>
                <w:color w:val="1F497D" w:themeColor="text2"/>
                <w:sz w:val="24"/>
                <w:szCs w:val="24"/>
              </w:rPr>
              <w:t>ул</w:t>
            </w:r>
            <w:proofErr w:type="gramStart"/>
            <w:r w:rsidRPr="00480C89">
              <w:rPr>
                <w:color w:val="1F497D" w:themeColor="text2"/>
                <w:sz w:val="24"/>
                <w:szCs w:val="24"/>
              </w:rPr>
              <w:t>.К</w:t>
            </w:r>
            <w:proofErr w:type="gramEnd"/>
            <w:r w:rsidRPr="00480C89">
              <w:rPr>
                <w:color w:val="1F497D" w:themeColor="text2"/>
                <w:sz w:val="24"/>
                <w:szCs w:val="24"/>
              </w:rPr>
              <w:t>арла</w:t>
            </w:r>
            <w:proofErr w:type="spellEnd"/>
            <w:r w:rsidRPr="00480C89">
              <w:rPr>
                <w:color w:val="1F497D" w:themeColor="text2"/>
                <w:sz w:val="24"/>
                <w:szCs w:val="24"/>
              </w:rPr>
              <w:t xml:space="preserve"> Маркса, д.52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480C89" w:rsidP="0086188B">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700</w:t>
            </w:r>
            <w:r w:rsidR="00195C37">
              <w:rPr>
                <w:rFonts w:ascii="Times New Roman" w:hAnsi="Times New Roman" w:cs="Times New Roman"/>
                <w:color w:val="1F497D" w:themeColor="text2"/>
                <w:sz w:val="24"/>
                <w:szCs w:val="24"/>
              </w:rPr>
              <w:t xml:space="preserve"> </w:t>
            </w:r>
            <w:r w:rsidR="00195C37" w:rsidRPr="00195C37">
              <w:rPr>
                <w:rFonts w:ascii="Times New Roman" w:hAnsi="Times New Roman" w:cs="Times New Roman"/>
                <w:color w:val="1F497D" w:themeColor="text2"/>
                <w:sz w:val="24"/>
                <w:szCs w:val="24"/>
              </w:rPr>
              <w:t>000</w:t>
            </w:r>
            <w:r w:rsidR="00637F39" w:rsidRPr="00637F39">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Мухаматзиевна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D721EE">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D721EE">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2A26CC">
              <w:rPr>
                <w:rFonts w:ascii="Times New Roman" w:eastAsia="Times New Roman" w:hAnsi="Times New Roman" w:cs="Times New Roman"/>
                <w:i/>
                <w:color w:val="1F497D" w:themeColor="text2"/>
                <w:sz w:val="24"/>
                <w:szCs w:val="24"/>
                <w:lang w:eastAsia="ru-RU"/>
              </w:rPr>
              <w:t>31.12.2015г. и 16.01.2016г.</w:t>
            </w:r>
            <w:r w:rsidR="002A26CC">
              <w:rPr>
                <w:rFonts w:ascii="Times New Roman" w:eastAsia="Times New Roman" w:hAnsi="Times New Roman" w:cs="Times New Roman"/>
                <w:i/>
                <w:sz w:val="24"/>
                <w:szCs w:val="24"/>
                <w:lang w:eastAsia="ru-RU"/>
              </w:rPr>
              <w:t xml:space="preserve"> </w:t>
            </w:r>
            <w:r w:rsidR="002A26CC">
              <w:rPr>
                <w:rFonts w:ascii="Times New Roman" w:eastAsia="Times New Roman" w:hAnsi="Times New Roman" w:cs="Times New Roman"/>
                <w:i/>
                <w:color w:val="1F497D" w:themeColor="text2"/>
                <w:sz w:val="24"/>
                <w:szCs w:val="24"/>
                <w:lang w:eastAsia="ru-RU"/>
              </w:rPr>
              <w:t>с 09.00 часов до 12.00 часов</w:t>
            </w:r>
            <w:r w:rsidR="002A26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D721EE"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D721E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343409" w:rsidP="00F40190">
      <w:pPr>
        <w:jc w:val="center"/>
        <w:rPr>
          <w:rFonts w:ascii="Times New Roman" w:hAnsi="Times New Roman" w:cs="Times New Roman"/>
          <w:sz w:val="28"/>
          <w:szCs w:val="28"/>
        </w:rPr>
      </w:pPr>
      <w:r w:rsidRPr="006B3A47">
        <w:rPr>
          <w:rFonts w:ascii="Times New Roman" w:hAnsi="Times New Roman" w:cs="Times New Roman"/>
          <w:b/>
          <w:i/>
          <w:sz w:val="28"/>
          <w:szCs w:val="28"/>
        </w:rPr>
        <w:t xml:space="preserve">Городской округ город  Уфа, </w:t>
      </w:r>
      <w:proofErr w:type="spellStart"/>
      <w:r w:rsidR="00480C89" w:rsidRPr="00480C89">
        <w:rPr>
          <w:rFonts w:ascii="Times New Roman" w:hAnsi="Times New Roman" w:cs="Times New Roman"/>
          <w:b/>
          <w:i/>
          <w:sz w:val="28"/>
          <w:szCs w:val="28"/>
        </w:rPr>
        <w:t>ул</w:t>
      </w:r>
      <w:proofErr w:type="gramStart"/>
      <w:r w:rsidR="00480C89" w:rsidRPr="00480C89">
        <w:rPr>
          <w:rFonts w:ascii="Times New Roman" w:hAnsi="Times New Roman" w:cs="Times New Roman"/>
          <w:b/>
          <w:i/>
          <w:sz w:val="28"/>
          <w:szCs w:val="28"/>
        </w:rPr>
        <w:t>.К</w:t>
      </w:r>
      <w:proofErr w:type="gramEnd"/>
      <w:r w:rsidR="00480C89" w:rsidRPr="00480C89">
        <w:rPr>
          <w:rFonts w:ascii="Times New Roman" w:hAnsi="Times New Roman" w:cs="Times New Roman"/>
          <w:b/>
          <w:i/>
          <w:sz w:val="28"/>
          <w:szCs w:val="28"/>
        </w:rPr>
        <w:t>арла</w:t>
      </w:r>
      <w:proofErr w:type="spellEnd"/>
      <w:r w:rsidR="00480C89" w:rsidRPr="00480C89">
        <w:rPr>
          <w:rFonts w:ascii="Times New Roman" w:hAnsi="Times New Roman" w:cs="Times New Roman"/>
          <w:b/>
          <w:i/>
          <w:sz w:val="28"/>
          <w:szCs w:val="28"/>
        </w:rPr>
        <w:t xml:space="preserve"> Маркса, д.52</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w:t>
            </w:r>
            <w:r w:rsidRPr="001903F7">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854DD4">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 xml:space="preserve">(в соответствии </w:t>
            </w:r>
            <w:r w:rsidRPr="000D2D82">
              <w:rPr>
                <w:rFonts w:ascii="Times New Roman" w:eastAsia="Times New Roman" w:hAnsi="Times New Roman" w:cs="Times New Roman"/>
                <w:bCs/>
                <w:sz w:val="24"/>
                <w:szCs w:val="24"/>
              </w:rPr>
              <w:lastRenderedPageBreak/>
              <w:t>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 xml:space="preserve">Критерии оценки </w:t>
            </w:r>
            <w:r w:rsidRPr="007E6A7F">
              <w:rPr>
                <w:i/>
                <w:sz w:val="24"/>
                <w:szCs w:val="24"/>
              </w:rPr>
              <w:lastRenderedPageBreak/>
              <w:t>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lastRenderedPageBreak/>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lastRenderedPageBreak/>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w:t>
            </w:r>
            <w:r w:rsidRPr="00EF3A75">
              <w:rPr>
                <w:rFonts w:ascii="Times New Roman" w:hAnsi="Times New Roman"/>
              </w:rPr>
              <w:lastRenderedPageBreak/>
              <w:t>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5A11AC" w:rsidP="005A11AC">
            <w:pPr>
              <w:spacing w:after="60"/>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4. </w:t>
            </w:r>
            <w:r w:rsidRPr="00637F39">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637F39" w:rsidRPr="00637F39" w:rsidRDefault="005A11AC">
            <w:pPr>
              <w:spacing w:after="60"/>
              <w:jc w:val="center"/>
              <w:rPr>
                <w:rFonts w:ascii="Times New Roman" w:hAnsi="Times New Roman" w:cs="Times New Roman"/>
                <w:sz w:val="24"/>
                <w:szCs w:val="24"/>
              </w:rPr>
            </w:pPr>
            <w:r w:rsidRPr="005A11AC">
              <w:rPr>
                <w:rFonts w:ascii="Times New Roman" w:hAnsi="Times New Roman" w:cs="Times New Roman"/>
                <w:color w:val="000000"/>
                <w:sz w:val="24"/>
                <w:szCs w:val="24"/>
              </w:rPr>
              <w:t>См. извещение</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Согласно утвержденному Заказчиком Графику производства работ</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Количество этажей – </w:t>
            </w:r>
            <w:r w:rsidR="00480C89">
              <w:rPr>
                <w:rFonts w:ascii="Times New Roman" w:hAnsi="Times New Roman" w:cs="Times New Roman"/>
                <w:sz w:val="24"/>
                <w:szCs w:val="24"/>
              </w:rPr>
              <w:t>4</w:t>
            </w:r>
          </w:p>
          <w:p w:rsidR="00637F39" w:rsidRPr="005A11AC"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Количество квартир – </w:t>
            </w:r>
            <w:r w:rsidR="00480C89">
              <w:rPr>
                <w:rFonts w:ascii="Times New Roman" w:hAnsi="Times New Roman" w:cs="Times New Roman"/>
                <w:sz w:val="24"/>
                <w:szCs w:val="24"/>
              </w:rPr>
              <w:t>4</w:t>
            </w:r>
            <w:r w:rsidR="009278B7">
              <w:rPr>
                <w:rFonts w:ascii="Times New Roman" w:hAnsi="Times New Roman" w:cs="Times New Roman"/>
                <w:sz w:val="24"/>
                <w:szCs w:val="24"/>
              </w:rPr>
              <w:t>0</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Стены – </w:t>
            </w:r>
            <w:r w:rsidR="00195C37" w:rsidRPr="00195C37">
              <w:rPr>
                <w:rFonts w:ascii="Times New Roman" w:hAnsi="Times New Roman" w:cs="Times New Roman"/>
                <w:sz w:val="24"/>
                <w:szCs w:val="24"/>
              </w:rPr>
              <w:t>каменные, кирпичные</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Кровля - </w:t>
            </w:r>
            <w:r w:rsidR="00480C89" w:rsidRPr="00480C89">
              <w:rPr>
                <w:rFonts w:ascii="Times New Roman" w:hAnsi="Times New Roman" w:cs="Times New Roman"/>
                <w:sz w:val="24"/>
                <w:szCs w:val="24"/>
              </w:rPr>
              <w:t>металлическая</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Система водоснабжения и водоотведения:</w:t>
            </w:r>
          </w:p>
          <w:p w:rsidR="00637F39" w:rsidRPr="00637F39" w:rsidRDefault="00637F39">
            <w:pPr>
              <w:rPr>
                <w:rFonts w:ascii="Times New Roman" w:hAnsi="Times New Roman" w:cs="Times New Roman"/>
                <w:b/>
                <w:sz w:val="24"/>
                <w:szCs w:val="24"/>
              </w:rPr>
            </w:pPr>
            <w:r w:rsidRPr="00637F39">
              <w:rPr>
                <w:rFonts w:ascii="Times New Roman" w:hAnsi="Times New Roman" w:cs="Times New Roman"/>
                <w:b/>
                <w:sz w:val="24"/>
                <w:szCs w:val="24"/>
              </w:rPr>
              <w:t>Холодное водоснабжение</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 замена разводящих магистралей и стояков </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637F39" w:rsidRPr="00637F39" w:rsidRDefault="00637F39">
            <w:pPr>
              <w:rPr>
                <w:rFonts w:ascii="Times New Roman" w:hAnsi="Times New Roman" w:cs="Times New Roman"/>
                <w:b/>
                <w:sz w:val="24"/>
                <w:szCs w:val="24"/>
              </w:rPr>
            </w:pPr>
            <w:r w:rsidRPr="00637F39">
              <w:rPr>
                <w:rFonts w:ascii="Times New Roman" w:hAnsi="Times New Roman" w:cs="Times New Roman"/>
                <w:b/>
                <w:sz w:val="24"/>
                <w:szCs w:val="24"/>
              </w:rPr>
              <w:t>Горячее водоснабжение</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 замена разводящих магистралей </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замена запорной арматуры, в том числе на ответвление от стояков в квартиру;</w:t>
            </w:r>
          </w:p>
          <w:p w:rsidR="00637F39" w:rsidRPr="00637F39" w:rsidRDefault="00637F39">
            <w:pPr>
              <w:rPr>
                <w:rFonts w:ascii="Times New Roman" w:hAnsi="Times New Roman" w:cs="Times New Roman"/>
                <w:b/>
                <w:sz w:val="24"/>
                <w:szCs w:val="24"/>
              </w:rPr>
            </w:pPr>
            <w:r w:rsidRPr="00637F39">
              <w:rPr>
                <w:rFonts w:ascii="Times New Roman" w:hAnsi="Times New Roman" w:cs="Times New Roman"/>
                <w:b/>
                <w:sz w:val="24"/>
                <w:szCs w:val="24"/>
              </w:rPr>
              <w:t>Система водоотведения:</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Пробивка и заделка отверстий </w:t>
            </w:r>
            <w:proofErr w:type="spellStart"/>
            <w:r w:rsidRPr="00637F39">
              <w:rPr>
                <w:rFonts w:ascii="Times New Roman" w:hAnsi="Times New Roman" w:cs="Times New Roman"/>
                <w:sz w:val="24"/>
                <w:szCs w:val="24"/>
              </w:rPr>
              <w:t>цементно</w:t>
            </w:r>
            <w:proofErr w:type="spellEnd"/>
            <w:r w:rsidRPr="00637F39">
              <w:rPr>
                <w:rFonts w:ascii="Times New Roman" w:hAnsi="Times New Roman" w:cs="Times New Roman"/>
                <w:sz w:val="24"/>
                <w:szCs w:val="24"/>
              </w:rPr>
              <w:t xml:space="preserve">–песчаным раствором. </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b/>
                <w:sz w:val="24"/>
                <w:szCs w:val="24"/>
              </w:rPr>
            </w:pPr>
            <w:r w:rsidRPr="00637F39">
              <w:rPr>
                <w:rFonts w:ascii="Times New Roman" w:hAnsi="Times New Roman" w:cs="Times New Roman"/>
                <w:sz w:val="24"/>
                <w:szCs w:val="24"/>
              </w:rPr>
              <w:t>В соответствии с условиями договора подряда</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3. </w:t>
            </w:r>
            <w:proofErr w:type="gramStart"/>
            <w:r w:rsidRPr="00637F39">
              <w:rPr>
                <w:rFonts w:ascii="Times New Roman" w:hAnsi="Times New Roman" w:cs="Times New Roman"/>
                <w:sz w:val="24"/>
                <w:szCs w:val="24"/>
              </w:rPr>
              <w:t xml:space="preserve">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w:t>
            </w:r>
            <w:r w:rsidRPr="00637F39">
              <w:rPr>
                <w:rFonts w:ascii="Times New Roman" w:hAnsi="Times New Roman" w:cs="Times New Roman"/>
                <w:sz w:val="24"/>
                <w:szCs w:val="24"/>
              </w:rPr>
              <w:lastRenderedPageBreak/>
              <w:t>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637F39">
              <w:rPr>
                <w:rFonts w:ascii="Times New Roman" w:hAnsi="Times New Roman" w:cs="Times New Roman"/>
                <w:sz w:val="24"/>
                <w:szCs w:val="24"/>
              </w:rPr>
              <w:t xml:space="preserve"> обязательств.</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tcPr>
          <w:p w:rsidR="00637F39" w:rsidRPr="00637F39" w:rsidRDefault="00637F39">
            <w:pPr>
              <w:rPr>
                <w:rFonts w:ascii="Times New Roman" w:hAnsi="Times New Roman" w:cs="Times New Roman"/>
                <w:sz w:val="24"/>
                <w:szCs w:val="24"/>
              </w:rPr>
            </w:pP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637F39">
              <w:rPr>
                <w:rFonts w:ascii="Times New Roman" w:hAnsi="Times New Roman" w:cs="Times New Roman"/>
                <w:sz w:val="24"/>
                <w:szCs w:val="24"/>
              </w:rPr>
              <w:t>шахматку</w:t>
            </w:r>
            <w:proofErr w:type="spellEnd"/>
            <w:r w:rsidRPr="00637F39">
              <w:rPr>
                <w:rFonts w:ascii="Times New Roman" w:hAnsi="Times New Roman" w:cs="Times New Roman"/>
                <w:sz w:val="24"/>
                <w:szCs w:val="24"/>
              </w:rPr>
              <w:t xml:space="preserve"> и т.д.</w:t>
            </w:r>
          </w:p>
        </w:tc>
      </w:tr>
    </w:tbl>
    <w:p w:rsidR="001F5882" w:rsidRDefault="001F5882"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4C30F3">
      <w:pP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Д О Г О В О </w:t>
      </w:r>
      <w:proofErr w:type="gramStart"/>
      <w:r w:rsidRPr="00411500">
        <w:rPr>
          <w:rFonts w:ascii="Times New Roman" w:eastAsia="Times New Roman" w:hAnsi="Times New Roman" w:cs="Times New Roman"/>
          <w:sz w:val="24"/>
          <w:szCs w:val="24"/>
          <w:lang w:eastAsia="ru-RU"/>
        </w:rPr>
        <w:t>Р</w:t>
      </w:r>
      <w:proofErr w:type="gramEnd"/>
      <w:r w:rsidRPr="00411500">
        <w:rPr>
          <w:rFonts w:ascii="Times New Roman" w:eastAsia="Times New Roman" w:hAnsi="Times New Roman" w:cs="Times New Roman"/>
          <w:sz w:val="24"/>
          <w:szCs w:val="24"/>
          <w:lang w:eastAsia="ru-RU"/>
        </w:rPr>
        <w:t xml:space="preserve">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r>
      <w:proofErr w:type="gramStart"/>
      <w:r w:rsidRPr="00411500">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roofErr w:type="gramEnd"/>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500">
        <w:rPr>
          <w:rFonts w:ascii="Times New Roman" w:eastAsia="Times New Roman" w:hAnsi="Times New Roman" w:cs="Times New Roman"/>
          <w:sz w:val="24"/>
          <w:szCs w:val="24"/>
          <w:lang w:eastAsia="ru-RU"/>
        </w:rPr>
        <w:t>кс стр</w:t>
      </w:r>
      <w:proofErr w:type="gramEnd"/>
      <w:r w:rsidRPr="00411500">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500">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500">
        <w:rPr>
          <w:rFonts w:ascii="Times New Roman" w:eastAsia="Times New Roman" w:hAnsi="Times New Roman" w:cs="Times New Roman"/>
          <w:sz w:val="24"/>
          <w:szCs w:val="24"/>
          <w:lang w:eastAsia="ru-RU"/>
        </w:rPr>
        <w:t>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500">
        <w:rPr>
          <w:rFonts w:ascii="Times New Roman" w:eastAsia="Times New Roman" w:hAnsi="Times New Roman" w:cs="Times New Roman"/>
          <w:sz w:val="24"/>
          <w:szCs w:val="24"/>
          <w:lang w:eastAsia="ru-RU"/>
        </w:rPr>
        <w:t>предусмотренным</w:t>
      </w:r>
      <w:proofErr w:type="gramEnd"/>
      <w:r w:rsidRPr="00411500">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lastRenderedPageBreak/>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500">
        <w:rPr>
          <w:rFonts w:ascii="Times New Roman" w:eastAsia="Times New Roman" w:hAnsi="Times New Roman" w:cs="Times New Roman"/>
          <w:sz w:val="24"/>
          <w:szCs w:val="24"/>
          <w:lang w:eastAsia="ru-RU"/>
        </w:rPr>
        <w:t>до</w:t>
      </w:r>
      <w:proofErr w:type="gramEnd"/>
      <w:r w:rsidRPr="00411500">
        <w:rPr>
          <w:rFonts w:ascii="Times New Roman" w:eastAsia="Times New Roman" w:hAnsi="Times New Roman" w:cs="Times New Roman"/>
          <w:sz w:val="24"/>
          <w:szCs w:val="24"/>
          <w:lang w:eastAsia="ru-RU"/>
        </w:rPr>
        <w:t xml:space="preserve"> и </w:t>
      </w:r>
      <w:proofErr w:type="gramStart"/>
      <w:r w:rsidRPr="00411500">
        <w:rPr>
          <w:rFonts w:ascii="Times New Roman" w:eastAsia="Times New Roman" w:hAnsi="Times New Roman" w:cs="Times New Roman"/>
          <w:sz w:val="24"/>
          <w:szCs w:val="24"/>
          <w:lang w:eastAsia="ru-RU"/>
        </w:rPr>
        <w:t>во</w:t>
      </w:r>
      <w:proofErr w:type="gramEnd"/>
      <w:r w:rsidRPr="00411500">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5.1.6. </w:t>
      </w:r>
      <w:proofErr w:type="gramStart"/>
      <w:r w:rsidRPr="00411500">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sidRPr="00411500">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411500">
        <w:rPr>
          <w:rFonts w:ascii="Times New Roman" w:eastAsia="Times New Roman" w:hAnsi="Times New Roman" w:cs="Times New Roman"/>
          <w:sz w:val="24"/>
          <w:szCs w:val="24"/>
          <w:lang w:eastAsia="ru-RU"/>
        </w:rPr>
        <w:t>при</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возникновении</w:t>
      </w:r>
      <w:proofErr w:type="gramEnd"/>
      <w:r w:rsidRPr="00411500">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обнаружении</w:t>
      </w:r>
      <w:proofErr w:type="gramEnd"/>
      <w:r w:rsidRPr="00411500">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5.2.2. Осуществлять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sidRPr="00411500">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500">
        <w:rPr>
          <w:rFonts w:ascii="Times New Roman" w:eastAsia="Times New Roman" w:hAnsi="Times New Roman" w:cs="Times New Roman"/>
          <w:sz w:val="24"/>
          <w:szCs w:val="24"/>
          <w:lang w:eastAsia="ru-RU"/>
        </w:rPr>
        <w:t>ств Ст</w:t>
      </w:r>
      <w:proofErr w:type="gramEnd"/>
      <w:r w:rsidRPr="00411500">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411500">
        <w:rPr>
          <w:rFonts w:ascii="Times New Roman" w:eastAsia="Times New Roman" w:hAnsi="Times New Roman" w:cs="Times New Roman"/>
          <w:bCs/>
          <w:sz w:val="24"/>
          <w:szCs w:val="24"/>
          <w:lang w:eastAsia="ru-RU"/>
        </w:rPr>
        <w:t>дств с б</w:t>
      </w:r>
      <w:proofErr w:type="gramEnd"/>
      <w:r w:rsidRPr="00411500">
        <w:rPr>
          <w:rFonts w:ascii="Times New Roman" w:eastAsia="Times New Roman" w:hAnsi="Times New Roman" w:cs="Times New Roman"/>
          <w:bCs/>
          <w:sz w:val="24"/>
          <w:szCs w:val="24"/>
          <w:lang w:eastAsia="ru-RU"/>
        </w:rPr>
        <w:t>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12.5. Осуществляя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w:t>
      </w:r>
      <w:r w:rsidRPr="00411500">
        <w:rPr>
          <w:rFonts w:ascii="Times New Roman" w:eastAsia="Calibri" w:hAnsi="Times New Roman" w:cs="Times New Roman"/>
          <w:sz w:val="24"/>
          <w:szCs w:val="24"/>
        </w:rPr>
        <w:lastRenderedPageBreak/>
        <w:t xml:space="preserve">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500">
        <w:rPr>
          <w:rFonts w:ascii="Times New Roman" w:eastAsia="Times New Roman" w:hAnsi="Times New Roman" w:cs="Times New Roman"/>
          <w:sz w:val="24"/>
          <w:szCs w:val="24"/>
          <w:lang w:eastAsia="ru-RU"/>
        </w:rPr>
        <w:t>согласно</w:t>
      </w:r>
      <w:proofErr w:type="gramEnd"/>
      <w:r w:rsidRPr="00411500">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w:t>
      </w:r>
      <w:r w:rsidRPr="00411500">
        <w:rPr>
          <w:rFonts w:ascii="Times New Roman" w:eastAsia="Times New Roman" w:hAnsi="Times New Roman" w:cs="Times New Roman"/>
          <w:sz w:val="24"/>
          <w:szCs w:val="24"/>
          <w:lang w:eastAsia="ru-RU"/>
        </w:rPr>
        <w:lastRenderedPageBreak/>
        <w:t>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w:t>
      </w:r>
      <w:r w:rsidRPr="00411500">
        <w:rPr>
          <w:rFonts w:ascii="Times New Roman" w:eastAsia="Times New Roman" w:hAnsi="Times New Roman" w:cs="Times New Roman"/>
          <w:sz w:val="24"/>
          <w:szCs w:val="24"/>
          <w:lang w:eastAsia="ru-RU"/>
        </w:rPr>
        <w:lastRenderedPageBreak/>
        <w:t>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A571A3" w:rsidRDefault="00A571A3" w:rsidP="00271B28">
                            <w:pPr>
                              <w:jc w:val="both"/>
                              <w:rPr>
                                <w:rFonts w:ascii="Times New Roman" w:hAnsi="Times New Roman"/>
                                <w:bCs/>
                              </w:rPr>
                            </w:pPr>
                            <w:r>
                              <w:rPr>
                                <w:rFonts w:ascii="Times New Roman" w:hAnsi="Times New Roman"/>
                                <w:bCs/>
                              </w:rPr>
                              <w:t>КОНКУРС № ________</w:t>
                            </w:r>
                          </w:p>
                          <w:p w:rsidR="00A571A3" w:rsidRDefault="00A571A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571A3" w:rsidRDefault="00A571A3" w:rsidP="00271B28">
                            <w:pPr>
                              <w:jc w:val="both"/>
                              <w:rPr>
                                <w:rFonts w:ascii="Times New Roman" w:hAnsi="Times New Roman"/>
                                <w:bCs/>
                              </w:rPr>
                            </w:pPr>
                          </w:p>
                          <w:p w:rsidR="00A571A3" w:rsidRDefault="00A571A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571A3" w:rsidRPr="008A0B6C" w:rsidRDefault="00A571A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A571A3" w:rsidRDefault="00A571A3" w:rsidP="00271B28">
                      <w:pPr>
                        <w:jc w:val="both"/>
                        <w:rPr>
                          <w:rFonts w:ascii="Times New Roman" w:hAnsi="Times New Roman"/>
                          <w:bCs/>
                        </w:rPr>
                      </w:pPr>
                      <w:r>
                        <w:rPr>
                          <w:rFonts w:ascii="Times New Roman" w:hAnsi="Times New Roman"/>
                          <w:bCs/>
                        </w:rPr>
                        <w:t>КОНКУРС № ________</w:t>
                      </w:r>
                    </w:p>
                    <w:p w:rsidR="00A571A3" w:rsidRDefault="00A571A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571A3" w:rsidRDefault="00A571A3" w:rsidP="00271B28">
                      <w:pPr>
                        <w:jc w:val="both"/>
                        <w:rPr>
                          <w:rFonts w:ascii="Times New Roman" w:hAnsi="Times New Roman"/>
                          <w:bCs/>
                        </w:rPr>
                      </w:pPr>
                    </w:p>
                    <w:p w:rsidR="00A571A3" w:rsidRDefault="00A571A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571A3" w:rsidRPr="008A0B6C" w:rsidRDefault="00A571A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A571A3" w:rsidRDefault="00A571A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A571A3" w:rsidRDefault="00A571A3"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A571A3" w:rsidRDefault="00A571A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571A3" w:rsidRPr="009479C8" w:rsidRDefault="00A571A3" w:rsidP="00271B28">
                            <w:pPr>
                              <w:rPr>
                                <w:rFonts w:ascii="Times New Roman" w:hAnsi="Times New Roman"/>
                                <w:b/>
                              </w:rPr>
                            </w:pPr>
                            <w:r w:rsidRPr="009479C8">
                              <w:rPr>
                                <w:rFonts w:ascii="Times New Roman" w:hAnsi="Times New Roman"/>
                                <w:b/>
                              </w:rPr>
                              <w:t>ИНН</w:t>
                            </w:r>
                          </w:p>
                          <w:p w:rsidR="00A571A3" w:rsidRDefault="00A571A3" w:rsidP="00271B28">
                            <w:pPr>
                              <w:rPr>
                                <w:rFonts w:ascii="Times New Roman" w:hAnsi="Times New Roman"/>
                              </w:rPr>
                            </w:pPr>
                            <w:r>
                              <w:rPr>
                                <w:rFonts w:ascii="Times New Roman" w:hAnsi="Times New Roman"/>
                              </w:rPr>
                              <w:t>Контактный телефон: ____________</w:t>
                            </w:r>
                          </w:p>
                          <w:p w:rsidR="00A571A3" w:rsidRDefault="00A571A3" w:rsidP="00271B28">
                            <w:pPr>
                              <w:rPr>
                                <w:rFonts w:ascii="Times New Roman" w:hAnsi="Times New Roman"/>
                              </w:rPr>
                            </w:pPr>
                          </w:p>
                          <w:p w:rsidR="00A571A3" w:rsidRDefault="00A571A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A571A3" w:rsidRDefault="00A571A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571A3" w:rsidRPr="009479C8" w:rsidRDefault="00A571A3" w:rsidP="00271B28">
                      <w:pPr>
                        <w:rPr>
                          <w:rFonts w:ascii="Times New Roman" w:hAnsi="Times New Roman"/>
                          <w:b/>
                        </w:rPr>
                      </w:pPr>
                      <w:r w:rsidRPr="009479C8">
                        <w:rPr>
                          <w:rFonts w:ascii="Times New Roman" w:hAnsi="Times New Roman"/>
                          <w:b/>
                        </w:rPr>
                        <w:t>ИНН</w:t>
                      </w:r>
                    </w:p>
                    <w:p w:rsidR="00A571A3" w:rsidRDefault="00A571A3" w:rsidP="00271B28">
                      <w:pPr>
                        <w:rPr>
                          <w:rFonts w:ascii="Times New Roman" w:hAnsi="Times New Roman"/>
                        </w:rPr>
                      </w:pPr>
                      <w:r>
                        <w:rPr>
                          <w:rFonts w:ascii="Times New Roman" w:hAnsi="Times New Roman"/>
                        </w:rPr>
                        <w:t>Контактный телефон: ____________</w:t>
                      </w:r>
                    </w:p>
                    <w:p w:rsidR="00A571A3" w:rsidRDefault="00A571A3" w:rsidP="00271B28">
                      <w:pPr>
                        <w:rPr>
                          <w:rFonts w:ascii="Times New Roman" w:hAnsi="Times New Roman"/>
                        </w:rPr>
                      </w:pPr>
                    </w:p>
                    <w:p w:rsidR="00A571A3" w:rsidRDefault="00A571A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A571A3" w:rsidRDefault="00A571A3" w:rsidP="00271B28">
                            <w:pPr>
                              <w:rPr>
                                <w:rFonts w:ascii="Times New Roman" w:hAnsi="Times New Roman"/>
                              </w:rPr>
                            </w:pPr>
                          </w:p>
                          <w:p w:rsidR="00A571A3" w:rsidRDefault="00A571A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A571A3" w:rsidRDefault="00A571A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A571A3" w:rsidRDefault="00A571A3" w:rsidP="00271B28">
                            <w:pPr>
                              <w:rPr>
                                <w:rFonts w:ascii="Times New Roman" w:hAnsi="Times New Roman"/>
                              </w:rPr>
                            </w:pPr>
                          </w:p>
                          <w:p w:rsidR="00A571A3" w:rsidRPr="00DD5B89" w:rsidRDefault="00A571A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A571A3" w:rsidRDefault="00A571A3" w:rsidP="00271B28">
                      <w:pPr>
                        <w:rPr>
                          <w:rFonts w:ascii="Times New Roman" w:hAnsi="Times New Roman"/>
                        </w:rPr>
                      </w:pPr>
                    </w:p>
                    <w:p w:rsidR="00A571A3" w:rsidRDefault="00A571A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A571A3" w:rsidRDefault="00A571A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A571A3" w:rsidRDefault="00A571A3" w:rsidP="00271B28">
                      <w:pPr>
                        <w:rPr>
                          <w:rFonts w:ascii="Times New Roman" w:hAnsi="Times New Roman"/>
                        </w:rPr>
                      </w:pPr>
                    </w:p>
                    <w:p w:rsidR="00A571A3" w:rsidRPr="00DD5B89" w:rsidRDefault="00A571A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8EFA2"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CBE4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3171B"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A571A3" w:rsidRDefault="00A571A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571A3" w:rsidRDefault="00A571A3"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E94ABE">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A3" w:rsidRDefault="00A571A3" w:rsidP="007E24AC">
      <w:r>
        <w:separator/>
      </w:r>
    </w:p>
  </w:endnote>
  <w:endnote w:type="continuationSeparator" w:id="0">
    <w:p w:rsidR="00A571A3" w:rsidRDefault="00A571A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A3" w:rsidRDefault="00A571A3" w:rsidP="007E24AC">
      <w:r>
        <w:separator/>
      </w:r>
    </w:p>
  </w:footnote>
  <w:footnote w:type="continuationSeparator" w:id="0">
    <w:p w:rsidR="00A571A3" w:rsidRDefault="00A571A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35D2"/>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26CC"/>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223AD"/>
    <w:rsid w:val="00530FA5"/>
    <w:rsid w:val="00532026"/>
    <w:rsid w:val="00536206"/>
    <w:rsid w:val="00547869"/>
    <w:rsid w:val="00554F98"/>
    <w:rsid w:val="00555092"/>
    <w:rsid w:val="0056641D"/>
    <w:rsid w:val="00566D03"/>
    <w:rsid w:val="00572138"/>
    <w:rsid w:val="005747A1"/>
    <w:rsid w:val="00581C39"/>
    <w:rsid w:val="005937A3"/>
    <w:rsid w:val="005A11AC"/>
    <w:rsid w:val="005B37EE"/>
    <w:rsid w:val="005B464B"/>
    <w:rsid w:val="005B7D67"/>
    <w:rsid w:val="005D4933"/>
    <w:rsid w:val="00637F39"/>
    <w:rsid w:val="00640B60"/>
    <w:rsid w:val="00640F50"/>
    <w:rsid w:val="00642B8C"/>
    <w:rsid w:val="00643E9B"/>
    <w:rsid w:val="00645021"/>
    <w:rsid w:val="0065509C"/>
    <w:rsid w:val="0067332C"/>
    <w:rsid w:val="0069388A"/>
    <w:rsid w:val="006A37D8"/>
    <w:rsid w:val="006B1D59"/>
    <w:rsid w:val="006B3A47"/>
    <w:rsid w:val="006D38C2"/>
    <w:rsid w:val="006E1CA8"/>
    <w:rsid w:val="006E279F"/>
    <w:rsid w:val="006E3216"/>
    <w:rsid w:val="006E3591"/>
    <w:rsid w:val="007009B6"/>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E648C"/>
    <w:rsid w:val="007F784E"/>
    <w:rsid w:val="00803932"/>
    <w:rsid w:val="00807C8F"/>
    <w:rsid w:val="008104FB"/>
    <w:rsid w:val="0081467C"/>
    <w:rsid w:val="00830C30"/>
    <w:rsid w:val="00837BCB"/>
    <w:rsid w:val="00854DD4"/>
    <w:rsid w:val="00855027"/>
    <w:rsid w:val="008601BF"/>
    <w:rsid w:val="0086188B"/>
    <w:rsid w:val="00872BFF"/>
    <w:rsid w:val="00877870"/>
    <w:rsid w:val="00897AB7"/>
    <w:rsid w:val="008A0330"/>
    <w:rsid w:val="008A0B6C"/>
    <w:rsid w:val="008B6D04"/>
    <w:rsid w:val="008C0AF1"/>
    <w:rsid w:val="008E12CF"/>
    <w:rsid w:val="008E3827"/>
    <w:rsid w:val="008F0BB1"/>
    <w:rsid w:val="008F1758"/>
    <w:rsid w:val="008F4DCE"/>
    <w:rsid w:val="00903128"/>
    <w:rsid w:val="00907C25"/>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E5911"/>
    <w:rsid w:val="00BF4474"/>
    <w:rsid w:val="00C04A32"/>
    <w:rsid w:val="00C240CC"/>
    <w:rsid w:val="00C24592"/>
    <w:rsid w:val="00C2710D"/>
    <w:rsid w:val="00C37281"/>
    <w:rsid w:val="00C37A68"/>
    <w:rsid w:val="00C708BD"/>
    <w:rsid w:val="00C80207"/>
    <w:rsid w:val="00C8192C"/>
    <w:rsid w:val="00C91287"/>
    <w:rsid w:val="00C93A71"/>
    <w:rsid w:val="00CA1FFF"/>
    <w:rsid w:val="00CA35B5"/>
    <w:rsid w:val="00CB0D2A"/>
    <w:rsid w:val="00CB3B43"/>
    <w:rsid w:val="00CD1C80"/>
    <w:rsid w:val="00CD6190"/>
    <w:rsid w:val="00CF2523"/>
    <w:rsid w:val="00D21DCA"/>
    <w:rsid w:val="00D238F3"/>
    <w:rsid w:val="00D31176"/>
    <w:rsid w:val="00D447CD"/>
    <w:rsid w:val="00D45680"/>
    <w:rsid w:val="00D52635"/>
    <w:rsid w:val="00D721EE"/>
    <w:rsid w:val="00D84718"/>
    <w:rsid w:val="00D85E39"/>
    <w:rsid w:val="00D91FFD"/>
    <w:rsid w:val="00D949FD"/>
    <w:rsid w:val="00DA100E"/>
    <w:rsid w:val="00DB1461"/>
    <w:rsid w:val="00DC5CEA"/>
    <w:rsid w:val="00DC6F4A"/>
    <w:rsid w:val="00DD1E5D"/>
    <w:rsid w:val="00DD6FDF"/>
    <w:rsid w:val="00DD717E"/>
    <w:rsid w:val="00DE0060"/>
    <w:rsid w:val="00DE2343"/>
    <w:rsid w:val="00DE2D9D"/>
    <w:rsid w:val="00DF2F5C"/>
    <w:rsid w:val="00E0316D"/>
    <w:rsid w:val="00E03341"/>
    <w:rsid w:val="00E0646D"/>
    <w:rsid w:val="00E14316"/>
    <w:rsid w:val="00E25E35"/>
    <w:rsid w:val="00E345D7"/>
    <w:rsid w:val="00E3669D"/>
    <w:rsid w:val="00E4299E"/>
    <w:rsid w:val="00E42ED4"/>
    <w:rsid w:val="00E43FF7"/>
    <w:rsid w:val="00E57399"/>
    <w:rsid w:val="00E579C9"/>
    <w:rsid w:val="00E57ADE"/>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38DD-E8E0-4B54-9EFF-4A4994DB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12201</Words>
  <Characters>69546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5</cp:revision>
  <cp:lastPrinted>2015-12-15T03:54:00Z</cp:lastPrinted>
  <dcterms:created xsi:type="dcterms:W3CDTF">2015-12-22T07:38:00Z</dcterms:created>
  <dcterms:modified xsi:type="dcterms:W3CDTF">2015-12-28T03:49:00Z</dcterms:modified>
</cp:coreProperties>
</file>